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55AD" w:rsidRPr="00202F12" w:rsidRDefault="008B55AD" w:rsidP="0010511A">
      <w:pPr>
        <w:ind w:left="720" w:hanging="720"/>
        <w:rPr>
          <w:sz w:val="22"/>
          <w:szCs w:val="22"/>
        </w:rPr>
      </w:pPr>
    </w:p>
    <w:p w:rsidR="008B55AD" w:rsidRPr="00202F12" w:rsidRDefault="00F72417">
      <w:pPr>
        <w:pBdr>
          <w:top w:val="nil"/>
          <w:left w:val="nil"/>
          <w:bottom w:val="nil"/>
          <w:right w:val="nil"/>
          <w:between w:val="nil"/>
        </w:pBdr>
        <w:jc w:val="center"/>
        <w:rPr>
          <w:b/>
          <w:sz w:val="22"/>
          <w:szCs w:val="22"/>
        </w:rPr>
      </w:pPr>
      <w:r w:rsidRPr="00202F12">
        <w:rPr>
          <w:b/>
          <w:sz w:val="22"/>
          <w:szCs w:val="22"/>
        </w:rPr>
        <w:t>MEMORANDO</w:t>
      </w:r>
    </w:p>
    <w:p w:rsidR="008B55AD" w:rsidRPr="00202F12" w:rsidRDefault="008B55AD">
      <w:pPr>
        <w:pBdr>
          <w:top w:val="nil"/>
          <w:left w:val="nil"/>
          <w:bottom w:val="nil"/>
          <w:right w:val="nil"/>
          <w:between w:val="nil"/>
        </w:pBdr>
        <w:jc w:val="center"/>
        <w:rPr>
          <w:b/>
          <w:sz w:val="22"/>
          <w:szCs w:val="22"/>
        </w:rPr>
      </w:pPr>
    </w:p>
    <w:p w:rsidR="008B55AD" w:rsidRPr="00202F12" w:rsidRDefault="008B55AD">
      <w:pPr>
        <w:pBdr>
          <w:top w:val="nil"/>
          <w:left w:val="nil"/>
          <w:bottom w:val="nil"/>
          <w:right w:val="nil"/>
          <w:between w:val="nil"/>
        </w:pBdr>
        <w:jc w:val="center"/>
        <w:rPr>
          <w:b/>
          <w:sz w:val="22"/>
          <w:szCs w:val="22"/>
        </w:rPr>
      </w:pPr>
    </w:p>
    <w:p w:rsidR="008B55AD" w:rsidRPr="00202F12" w:rsidRDefault="00F72417">
      <w:pPr>
        <w:pBdr>
          <w:top w:val="nil"/>
          <w:left w:val="nil"/>
          <w:bottom w:val="nil"/>
          <w:right w:val="nil"/>
          <w:between w:val="nil"/>
        </w:pBdr>
        <w:rPr>
          <w:b/>
          <w:sz w:val="22"/>
          <w:szCs w:val="22"/>
          <w:highlight w:val="yellow"/>
        </w:rPr>
      </w:pPr>
      <w:r w:rsidRPr="00202F12">
        <w:rPr>
          <w:b/>
          <w:sz w:val="22"/>
          <w:szCs w:val="22"/>
        </w:rPr>
        <w:t>PARA:</w:t>
      </w:r>
      <w:r w:rsidRPr="00202F12">
        <w:rPr>
          <w:sz w:val="22"/>
          <w:szCs w:val="22"/>
        </w:rPr>
        <w:t xml:space="preserve"> </w:t>
      </w:r>
      <w:r w:rsidRPr="00202F12">
        <w:rPr>
          <w:sz w:val="22"/>
          <w:szCs w:val="22"/>
        </w:rPr>
        <w:tab/>
      </w:r>
      <w:r w:rsidR="00C2375C" w:rsidRPr="00C2375C">
        <w:rPr>
          <w:b/>
          <w:sz w:val="22"/>
          <w:szCs w:val="22"/>
        </w:rPr>
        <w:t xml:space="preserve">ANDRES BARRIOS BERNAL </w:t>
      </w:r>
    </w:p>
    <w:p w:rsidR="008B55AD" w:rsidRPr="00202F12" w:rsidRDefault="00C2375C" w:rsidP="00C2375C">
      <w:pPr>
        <w:pBdr>
          <w:top w:val="nil"/>
          <w:left w:val="nil"/>
          <w:bottom w:val="nil"/>
          <w:right w:val="nil"/>
          <w:between w:val="nil"/>
        </w:pBdr>
        <w:ind w:left="1418"/>
        <w:rPr>
          <w:sz w:val="22"/>
          <w:szCs w:val="22"/>
        </w:rPr>
      </w:pPr>
      <w:r>
        <w:rPr>
          <w:sz w:val="22"/>
          <w:szCs w:val="22"/>
        </w:rPr>
        <w:t>Presidente Comisión de Gobierno</w:t>
      </w:r>
    </w:p>
    <w:p w:rsidR="008B55AD" w:rsidRPr="00202F12" w:rsidRDefault="008B55AD" w:rsidP="00C2375C">
      <w:pPr>
        <w:pBdr>
          <w:top w:val="nil"/>
          <w:left w:val="nil"/>
          <w:bottom w:val="nil"/>
          <w:right w:val="nil"/>
          <w:between w:val="nil"/>
        </w:pBdr>
        <w:ind w:left="1418"/>
        <w:rPr>
          <w:sz w:val="22"/>
          <w:szCs w:val="22"/>
        </w:rPr>
      </w:pPr>
    </w:p>
    <w:p w:rsidR="008B55AD" w:rsidRPr="00202F12" w:rsidRDefault="007870E8">
      <w:pPr>
        <w:spacing w:line="200" w:lineRule="auto"/>
        <w:jc w:val="both"/>
        <w:rPr>
          <w:b/>
          <w:sz w:val="22"/>
          <w:szCs w:val="22"/>
        </w:rPr>
      </w:pPr>
      <w:r w:rsidRPr="00202F12">
        <w:rPr>
          <w:b/>
          <w:sz w:val="22"/>
          <w:szCs w:val="22"/>
        </w:rPr>
        <w:t xml:space="preserve">DE: </w:t>
      </w:r>
      <w:r w:rsidRPr="00202F12">
        <w:rPr>
          <w:b/>
          <w:sz w:val="22"/>
          <w:szCs w:val="22"/>
        </w:rPr>
        <w:tab/>
      </w:r>
      <w:r w:rsidRPr="00202F12">
        <w:rPr>
          <w:b/>
          <w:sz w:val="22"/>
          <w:szCs w:val="22"/>
        </w:rPr>
        <w:tab/>
        <w:t>FERNANDO LÓPEZ GUTIERREZ</w:t>
      </w:r>
      <w:r w:rsidR="00F72417" w:rsidRPr="00202F12">
        <w:rPr>
          <w:b/>
          <w:sz w:val="22"/>
          <w:szCs w:val="22"/>
        </w:rPr>
        <w:t xml:space="preserve">          </w:t>
      </w:r>
    </w:p>
    <w:p w:rsidR="007870E8" w:rsidRPr="00202F12" w:rsidRDefault="007870E8">
      <w:pPr>
        <w:spacing w:line="200" w:lineRule="auto"/>
        <w:ind w:left="720" w:firstLine="720"/>
        <w:jc w:val="both"/>
        <w:rPr>
          <w:sz w:val="22"/>
          <w:szCs w:val="22"/>
        </w:rPr>
      </w:pPr>
      <w:r w:rsidRPr="00202F12">
        <w:rPr>
          <w:sz w:val="22"/>
          <w:szCs w:val="22"/>
        </w:rPr>
        <w:t>Concejal</w:t>
      </w:r>
      <w:r w:rsidR="00F72417" w:rsidRPr="00202F12">
        <w:rPr>
          <w:sz w:val="22"/>
          <w:szCs w:val="22"/>
        </w:rPr>
        <w:t xml:space="preserve"> de Bogotá D. C.</w:t>
      </w:r>
    </w:p>
    <w:p w:rsidR="007870E8" w:rsidRPr="00202F12" w:rsidRDefault="007870E8">
      <w:pPr>
        <w:spacing w:line="200" w:lineRule="auto"/>
        <w:ind w:left="720" w:firstLine="720"/>
        <w:jc w:val="both"/>
        <w:rPr>
          <w:sz w:val="22"/>
          <w:szCs w:val="22"/>
        </w:rPr>
      </w:pPr>
    </w:p>
    <w:p w:rsidR="007870E8" w:rsidRPr="00202F12" w:rsidRDefault="007870E8">
      <w:pPr>
        <w:spacing w:line="200" w:lineRule="auto"/>
        <w:ind w:left="720" w:firstLine="720"/>
        <w:jc w:val="both"/>
        <w:rPr>
          <w:b/>
          <w:sz w:val="22"/>
          <w:szCs w:val="22"/>
        </w:rPr>
      </w:pPr>
      <w:r w:rsidRPr="00202F12">
        <w:rPr>
          <w:b/>
          <w:sz w:val="22"/>
          <w:szCs w:val="22"/>
        </w:rPr>
        <w:t>ARMANDO GUTIERREZ GONZALEZ</w:t>
      </w:r>
    </w:p>
    <w:p w:rsidR="008B55AD" w:rsidRPr="00202F12" w:rsidRDefault="007870E8">
      <w:pPr>
        <w:spacing w:line="200" w:lineRule="auto"/>
        <w:ind w:left="720" w:firstLine="720"/>
        <w:jc w:val="both"/>
        <w:rPr>
          <w:sz w:val="22"/>
          <w:szCs w:val="22"/>
        </w:rPr>
      </w:pPr>
      <w:r w:rsidRPr="00202F12">
        <w:rPr>
          <w:sz w:val="22"/>
          <w:szCs w:val="22"/>
        </w:rPr>
        <w:t>Concejal de Bogotá D.C</w:t>
      </w:r>
      <w:r w:rsidR="00F72417" w:rsidRPr="00202F12">
        <w:rPr>
          <w:sz w:val="22"/>
          <w:szCs w:val="22"/>
        </w:rPr>
        <w:t xml:space="preserve"> </w:t>
      </w:r>
    </w:p>
    <w:p w:rsidR="008B55AD" w:rsidRPr="00202F12" w:rsidRDefault="008B55AD">
      <w:pPr>
        <w:pBdr>
          <w:top w:val="nil"/>
          <w:left w:val="nil"/>
          <w:bottom w:val="nil"/>
          <w:right w:val="nil"/>
          <w:between w:val="nil"/>
        </w:pBdr>
        <w:rPr>
          <w:sz w:val="22"/>
          <w:szCs w:val="22"/>
        </w:rPr>
      </w:pPr>
    </w:p>
    <w:p w:rsidR="008B55AD" w:rsidRPr="00202F12" w:rsidRDefault="008B55AD">
      <w:pPr>
        <w:pBdr>
          <w:top w:val="nil"/>
          <w:left w:val="nil"/>
          <w:bottom w:val="nil"/>
          <w:right w:val="nil"/>
          <w:between w:val="nil"/>
        </w:pBdr>
        <w:rPr>
          <w:sz w:val="22"/>
          <w:szCs w:val="22"/>
        </w:rPr>
      </w:pPr>
    </w:p>
    <w:p w:rsidR="008B55AD" w:rsidRPr="00202F12" w:rsidRDefault="00F72417">
      <w:pPr>
        <w:pBdr>
          <w:top w:val="nil"/>
          <w:left w:val="nil"/>
          <w:bottom w:val="nil"/>
          <w:right w:val="nil"/>
          <w:between w:val="nil"/>
        </w:pBdr>
        <w:ind w:left="1418" w:hanging="1418"/>
        <w:jc w:val="both"/>
        <w:rPr>
          <w:sz w:val="22"/>
          <w:szCs w:val="22"/>
        </w:rPr>
      </w:pPr>
      <w:r w:rsidRPr="00202F12">
        <w:rPr>
          <w:b/>
          <w:sz w:val="22"/>
          <w:szCs w:val="22"/>
        </w:rPr>
        <w:t>ASUNTO:</w:t>
      </w:r>
      <w:r w:rsidRPr="00202F12">
        <w:rPr>
          <w:sz w:val="22"/>
          <w:szCs w:val="22"/>
        </w:rPr>
        <w:t xml:space="preserve"> </w:t>
      </w:r>
      <w:r w:rsidRPr="00202F12">
        <w:rPr>
          <w:sz w:val="22"/>
          <w:szCs w:val="22"/>
        </w:rPr>
        <w:tab/>
        <w:t xml:space="preserve">Ponencia </w:t>
      </w:r>
      <w:r w:rsidR="007870E8" w:rsidRPr="00202F12">
        <w:rPr>
          <w:b/>
          <w:sz w:val="22"/>
          <w:szCs w:val="22"/>
        </w:rPr>
        <w:t>POSITIVA CONJUNTA</w:t>
      </w:r>
      <w:r w:rsidRPr="00202F12">
        <w:rPr>
          <w:b/>
          <w:sz w:val="22"/>
          <w:szCs w:val="22"/>
        </w:rPr>
        <w:t xml:space="preserve"> </w:t>
      </w:r>
      <w:r w:rsidRPr="00202F12">
        <w:rPr>
          <w:sz w:val="22"/>
          <w:szCs w:val="22"/>
        </w:rPr>
        <w:t>para primer deba</w:t>
      </w:r>
      <w:r w:rsidR="007870E8" w:rsidRPr="00202F12">
        <w:rPr>
          <w:sz w:val="22"/>
          <w:szCs w:val="22"/>
        </w:rPr>
        <w:t>te del Proyecto de Acuerdo No. 9</w:t>
      </w:r>
      <w:r w:rsidRPr="00202F12">
        <w:rPr>
          <w:sz w:val="22"/>
          <w:szCs w:val="22"/>
        </w:rPr>
        <w:t>58 de 2025.</w:t>
      </w:r>
    </w:p>
    <w:p w:rsidR="008B55AD" w:rsidRPr="00202F12" w:rsidRDefault="008B55AD">
      <w:pPr>
        <w:pBdr>
          <w:top w:val="nil"/>
          <w:left w:val="nil"/>
          <w:bottom w:val="nil"/>
          <w:right w:val="nil"/>
          <w:between w:val="nil"/>
        </w:pBdr>
        <w:jc w:val="both"/>
        <w:rPr>
          <w:sz w:val="22"/>
          <w:szCs w:val="22"/>
        </w:rPr>
      </w:pPr>
    </w:p>
    <w:p w:rsidR="008B55AD" w:rsidRPr="00202F12" w:rsidRDefault="008B55AD">
      <w:pPr>
        <w:pBdr>
          <w:top w:val="nil"/>
          <w:left w:val="nil"/>
          <w:bottom w:val="nil"/>
          <w:right w:val="nil"/>
          <w:between w:val="nil"/>
        </w:pBdr>
        <w:jc w:val="both"/>
        <w:rPr>
          <w:sz w:val="22"/>
          <w:szCs w:val="22"/>
        </w:rPr>
      </w:pPr>
    </w:p>
    <w:p w:rsidR="008B55AD" w:rsidRDefault="00F72417">
      <w:pPr>
        <w:pBdr>
          <w:top w:val="nil"/>
          <w:left w:val="nil"/>
          <w:bottom w:val="nil"/>
          <w:right w:val="nil"/>
          <w:between w:val="nil"/>
        </w:pBdr>
        <w:jc w:val="both"/>
        <w:rPr>
          <w:sz w:val="22"/>
          <w:szCs w:val="22"/>
        </w:rPr>
      </w:pPr>
      <w:r w:rsidRPr="00202F12">
        <w:rPr>
          <w:sz w:val="22"/>
          <w:szCs w:val="22"/>
        </w:rPr>
        <w:t xml:space="preserve">Cordial saludo, </w:t>
      </w:r>
    </w:p>
    <w:p w:rsidR="00645350" w:rsidRPr="00202F12" w:rsidRDefault="00645350">
      <w:pPr>
        <w:pBdr>
          <w:top w:val="nil"/>
          <w:left w:val="nil"/>
          <w:bottom w:val="nil"/>
          <w:right w:val="nil"/>
          <w:between w:val="nil"/>
        </w:pBdr>
        <w:jc w:val="both"/>
        <w:rPr>
          <w:sz w:val="22"/>
          <w:szCs w:val="22"/>
        </w:rPr>
      </w:pPr>
    </w:p>
    <w:p w:rsidR="008B55AD" w:rsidRPr="00202F12" w:rsidRDefault="008B55AD" w:rsidP="0010511A">
      <w:pPr>
        <w:pBdr>
          <w:top w:val="nil"/>
          <w:left w:val="nil"/>
          <w:bottom w:val="nil"/>
          <w:right w:val="nil"/>
          <w:between w:val="nil"/>
        </w:pBdr>
        <w:ind w:left="720" w:hanging="720"/>
        <w:jc w:val="both"/>
        <w:rPr>
          <w:sz w:val="22"/>
          <w:szCs w:val="22"/>
        </w:rPr>
      </w:pPr>
    </w:p>
    <w:p w:rsidR="008B55AD" w:rsidRPr="00202F12" w:rsidRDefault="00F72417" w:rsidP="00645350">
      <w:pPr>
        <w:spacing w:line="360" w:lineRule="auto"/>
        <w:jc w:val="both"/>
        <w:rPr>
          <w:sz w:val="22"/>
          <w:szCs w:val="22"/>
        </w:rPr>
      </w:pPr>
      <w:r w:rsidRPr="00202F12">
        <w:rPr>
          <w:sz w:val="22"/>
          <w:szCs w:val="22"/>
        </w:rPr>
        <w:t xml:space="preserve">En atención a la designación comunicada </w:t>
      </w:r>
      <w:r w:rsidRPr="00202F12">
        <w:rPr>
          <w:sz w:val="22"/>
          <w:szCs w:val="22"/>
        </w:rPr>
        <w:t xml:space="preserve">y dentro del término legal, nos permitimos rendir </w:t>
      </w:r>
      <w:r w:rsidRPr="00202F12">
        <w:rPr>
          <w:b/>
          <w:sz w:val="22"/>
          <w:szCs w:val="22"/>
        </w:rPr>
        <w:t>PONENCIA POSITIVA</w:t>
      </w:r>
      <w:r w:rsidRPr="00202F12">
        <w:rPr>
          <w:sz w:val="22"/>
          <w:szCs w:val="22"/>
        </w:rPr>
        <w:t xml:space="preserve"> </w:t>
      </w:r>
      <w:r w:rsidRPr="00202F12">
        <w:rPr>
          <w:b/>
          <w:sz w:val="22"/>
          <w:szCs w:val="22"/>
        </w:rPr>
        <w:t>CON MODIFIC</w:t>
      </w:r>
      <w:r w:rsidRPr="00202F12">
        <w:rPr>
          <w:b/>
          <w:sz w:val="22"/>
          <w:szCs w:val="22"/>
        </w:rPr>
        <w:t>ACIONES</w:t>
      </w:r>
      <w:r w:rsidRPr="00202F12">
        <w:rPr>
          <w:sz w:val="22"/>
          <w:szCs w:val="22"/>
        </w:rPr>
        <w:t xml:space="preserve"> para primer deb</w:t>
      </w:r>
      <w:r w:rsidR="007870E8" w:rsidRPr="00202F12">
        <w:rPr>
          <w:sz w:val="22"/>
          <w:szCs w:val="22"/>
        </w:rPr>
        <w:t>ate del Proyecto de Acuerdo No.9</w:t>
      </w:r>
      <w:r w:rsidRPr="00202F12">
        <w:rPr>
          <w:sz w:val="22"/>
          <w:szCs w:val="22"/>
        </w:rPr>
        <w:t xml:space="preserve">58 de 2025 </w:t>
      </w:r>
      <w:r w:rsidR="007870E8" w:rsidRPr="00202F12">
        <w:rPr>
          <w:b/>
          <w:i/>
          <w:sz w:val="22"/>
          <w:szCs w:val="22"/>
        </w:rPr>
        <w:t>“Por medio del cual se reconoce la Caminata de la Solidaridad como un evento de interés cultural, social y turístico para Bogotá, y se establecen lineamientos de apoyo para su fortalecimiento”</w:t>
      </w:r>
      <w:r w:rsidRPr="00202F12">
        <w:rPr>
          <w:b/>
          <w:i/>
          <w:sz w:val="22"/>
          <w:szCs w:val="22"/>
        </w:rPr>
        <w:t xml:space="preserve"> </w:t>
      </w:r>
      <w:r w:rsidRPr="00202F12">
        <w:rPr>
          <w:sz w:val="22"/>
          <w:szCs w:val="22"/>
        </w:rPr>
        <w:t xml:space="preserve">de autoría </w:t>
      </w:r>
      <w:r w:rsidR="007870E8" w:rsidRPr="00202F12">
        <w:rPr>
          <w:sz w:val="22"/>
          <w:szCs w:val="22"/>
        </w:rPr>
        <w:t>del Concejal Andrés Barrios Bernal.</w:t>
      </w:r>
    </w:p>
    <w:p w:rsidR="007870E8" w:rsidRPr="00202F12" w:rsidRDefault="007870E8" w:rsidP="00645350">
      <w:pPr>
        <w:spacing w:line="360" w:lineRule="auto"/>
        <w:jc w:val="both"/>
        <w:rPr>
          <w:sz w:val="22"/>
          <w:szCs w:val="22"/>
        </w:rPr>
      </w:pPr>
    </w:p>
    <w:p w:rsidR="008B55AD" w:rsidRPr="00202F12" w:rsidRDefault="00F72417" w:rsidP="00645350">
      <w:pPr>
        <w:spacing w:line="360" w:lineRule="auto"/>
        <w:jc w:val="both"/>
        <w:rPr>
          <w:sz w:val="22"/>
          <w:szCs w:val="22"/>
        </w:rPr>
      </w:pPr>
      <w:r w:rsidRPr="00202F12">
        <w:rPr>
          <w:sz w:val="22"/>
          <w:szCs w:val="22"/>
        </w:rPr>
        <w:t>Lo anterior en atención y cumplimiento a lo dispuesto en el artículo 71 del Acuerdo 741 de 2019, modificado por el Acuerdo 837 de 2022 - Reglamento Interno del Concejo de Bogotá.</w:t>
      </w:r>
    </w:p>
    <w:p w:rsidR="008B55AD" w:rsidRDefault="008B55AD">
      <w:pPr>
        <w:pBdr>
          <w:top w:val="nil"/>
          <w:left w:val="nil"/>
          <w:bottom w:val="nil"/>
          <w:right w:val="nil"/>
          <w:between w:val="nil"/>
        </w:pBdr>
        <w:spacing w:line="276" w:lineRule="auto"/>
        <w:jc w:val="both"/>
        <w:rPr>
          <w:sz w:val="22"/>
          <w:szCs w:val="22"/>
        </w:rPr>
      </w:pPr>
    </w:p>
    <w:p w:rsidR="00645350" w:rsidRPr="00202F12" w:rsidRDefault="00645350">
      <w:pPr>
        <w:pBdr>
          <w:top w:val="nil"/>
          <w:left w:val="nil"/>
          <w:bottom w:val="nil"/>
          <w:right w:val="nil"/>
          <w:between w:val="nil"/>
        </w:pBdr>
        <w:spacing w:line="276" w:lineRule="auto"/>
        <w:jc w:val="both"/>
        <w:rPr>
          <w:sz w:val="22"/>
          <w:szCs w:val="22"/>
        </w:rPr>
      </w:pPr>
    </w:p>
    <w:p w:rsidR="008B55AD" w:rsidRPr="00202F12" w:rsidRDefault="00F72417">
      <w:pPr>
        <w:rPr>
          <w:sz w:val="22"/>
          <w:szCs w:val="22"/>
        </w:rPr>
      </w:pPr>
      <w:r w:rsidRPr="00202F12">
        <w:rPr>
          <w:sz w:val="22"/>
          <w:szCs w:val="22"/>
        </w:rPr>
        <w:t xml:space="preserve">Atentamente, </w:t>
      </w:r>
    </w:p>
    <w:p w:rsidR="008B55AD" w:rsidRPr="00202F12" w:rsidRDefault="008B55AD">
      <w:pPr>
        <w:rPr>
          <w:sz w:val="22"/>
          <w:szCs w:val="22"/>
        </w:rPr>
      </w:pPr>
    </w:p>
    <w:p w:rsidR="008B55AD" w:rsidRPr="00202F12" w:rsidRDefault="008B55AD">
      <w:pPr>
        <w:rPr>
          <w:sz w:val="22"/>
          <w:szCs w:val="22"/>
        </w:rPr>
      </w:pPr>
    </w:p>
    <w:p w:rsidR="008B55AD" w:rsidRPr="00202F12" w:rsidRDefault="008B55AD">
      <w:pPr>
        <w:rPr>
          <w:sz w:val="22"/>
          <w:szCs w:val="22"/>
        </w:rPr>
      </w:pPr>
    </w:p>
    <w:p w:rsidR="008B55AD" w:rsidRPr="00202F12" w:rsidRDefault="008B55AD" w:rsidP="007870E8">
      <w:pPr>
        <w:pStyle w:val="Sinespaciado"/>
        <w:rPr>
          <w:rFonts w:ascii="Arial" w:hAnsi="Arial" w:cs="Arial"/>
        </w:rPr>
      </w:pPr>
    </w:p>
    <w:p w:rsidR="007870E8" w:rsidRPr="00202F12" w:rsidRDefault="007870E8" w:rsidP="007870E8">
      <w:pPr>
        <w:pStyle w:val="Sinespaciado"/>
        <w:rPr>
          <w:rFonts w:ascii="Arial" w:hAnsi="Arial" w:cs="Arial"/>
          <w:b/>
        </w:rPr>
      </w:pPr>
      <w:r w:rsidRPr="00202F12">
        <w:rPr>
          <w:rFonts w:ascii="Arial" w:hAnsi="Arial" w:cs="Arial"/>
          <w:b/>
        </w:rPr>
        <w:t xml:space="preserve">FERNANDO LÓPEZ GUTIERREZ         </w:t>
      </w:r>
      <w:r w:rsidRPr="00202F12">
        <w:rPr>
          <w:rFonts w:ascii="Arial" w:hAnsi="Arial" w:cs="Arial"/>
          <w:b/>
        </w:rPr>
        <w:tab/>
      </w:r>
      <w:r w:rsidR="00645350">
        <w:rPr>
          <w:rFonts w:ascii="Arial" w:hAnsi="Arial" w:cs="Arial"/>
          <w:b/>
        </w:rPr>
        <w:t>ARMANDO GUTIERREZ GONZALEZ</w:t>
      </w:r>
    </w:p>
    <w:p w:rsidR="008B55AD" w:rsidRPr="00202F12" w:rsidRDefault="007870E8" w:rsidP="00C2375C">
      <w:pPr>
        <w:pStyle w:val="Sinespaciado"/>
        <w:rPr>
          <w:rFonts w:ascii="Arial" w:hAnsi="Arial" w:cs="Arial"/>
        </w:rPr>
      </w:pPr>
      <w:r w:rsidRPr="00202F12">
        <w:rPr>
          <w:rFonts w:ascii="Arial" w:hAnsi="Arial" w:cs="Arial"/>
        </w:rPr>
        <w:t>Concejal de Bogotá D. C.</w:t>
      </w:r>
      <w:r w:rsidRPr="00202F12">
        <w:rPr>
          <w:rFonts w:ascii="Arial" w:hAnsi="Arial" w:cs="Arial"/>
        </w:rPr>
        <w:tab/>
      </w:r>
      <w:r w:rsidRPr="00202F12">
        <w:rPr>
          <w:rFonts w:ascii="Arial" w:hAnsi="Arial" w:cs="Arial"/>
        </w:rPr>
        <w:tab/>
      </w:r>
      <w:r w:rsidRPr="00202F12">
        <w:rPr>
          <w:rFonts w:ascii="Arial" w:hAnsi="Arial" w:cs="Arial"/>
        </w:rPr>
        <w:tab/>
        <w:t>Concejal de Bogotá D.C</w:t>
      </w:r>
    </w:p>
    <w:p w:rsidR="008B55AD" w:rsidRPr="00202F12" w:rsidRDefault="008B55AD">
      <w:pPr>
        <w:rPr>
          <w:sz w:val="22"/>
          <w:szCs w:val="22"/>
        </w:rPr>
      </w:pPr>
    </w:p>
    <w:p w:rsidR="008B55AD" w:rsidRPr="00202F12" w:rsidRDefault="008B55AD">
      <w:pPr>
        <w:rPr>
          <w:sz w:val="22"/>
          <w:szCs w:val="22"/>
        </w:rPr>
      </w:pPr>
    </w:p>
    <w:p w:rsidR="008B55AD" w:rsidRPr="00202F12" w:rsidRDefault="008B55AD">
      <w:pPr>
        <w:rPr>
          <w:sz w:val="22"/>
          <w:szCs w:val="22"/>
        </w:rPr>
      </w:pPr>
    </w:p>
    <w:p w:rsidR="008B55AD" w:rsidRPr="00202F12" w:rsidRDefault="00F72417">
      <w:pPr>
        <w:jc w:val="center"/>
        <w:rPr>
          <w:b/>
          <w:sz w:val="22"/>
          <w:szCs w:val="22"/>
        </w:rPr>
      </w:pPr>
      <w:r w:rsidRPr="00202F12">
        <w:rPr>
          <w:b/>
          <w:sz w:val="22"/>
          <w:szCs w:val="22"/>
        </w:rPr>
        <w:t>PO</w:t>
      </w:r>
      <w:r w:rsidR="007870E8" w:rsidRPr="00202F12">
        <w:rPr>
          <w:b/>
          <w:sz w:val="22"/>
          <w:szCs w:val="22"/>
        </w:rPr>
        <w:t>NENCIA PROYECTO DE ACUERDO No. 9</w:t>
      </w:r>
      <w:r w:rsidRPr="00202F12">
        <w:rPr>
          <w:b/>
          <w:sz w:val="22"/>
          <w:szCs w:val="22"/>
        </w:rPr>
        <w:t>58 DE  2025</w:t>
      </w:r>
    </w:p>
    <w:p w:rsidR="008B55AD" w:rsidRPr="00202F12" w:rsidRDefault="008B55AD">
      <w:pPr>
        <w:rPr>
          <w:sz w:val="22"/>
          <w:szCs w:val="22"/>
        </w:rPr>
      </w:pPr>
    </w:p>
    <w:p w:rsidR="008B55AD" w:rsidRPr="00202F12" w:rsidRDefault="008B55AD">
      <w:pPr>
        <w:rPr>
          <w:sz w:val="22"/>
          <w:szCs w:val="22"/>
        </w:rPr>
      </w:pPr>
      <w:bookmarkStart w:id="0" w:name="_heading=h.cwsptk4l1arq" w:colFirst="0" w:colLast="0"/>
      <w:bookmarkEnd w:id="0"/>
    </w:p>
    <w:p w:rsidR="008B55AD" w:rsidRPr="00202F12" w:rsidRDefault="007870E8" w:rsidP="007870E8">
      <w:pPr>
        <w:jc w:val="center"/>
        <w:rPr>
          <w:sz w:val="22"/>
          <w:szCs w:val="22"/>
        </w:rPr>
      </w:pPr>
      <w:r w:rsidRPr="00202F12">
        <w:rPr>
          <w:b/>
          <w:i/>
          <w:sz w:val="22"/>
          <w:szCs w:val="22"/>
        </w:rPr>
        <w:t>“Por medio del cual se reconoce la Caminata de la Solidaridad como un evento de interés cultural, social y turístico para Bogotá, y se establecen lineamientos de apoyo para su fortalecimiento”</w:t>
      </w:r>
    </w:p>
    <w:p w:rsidR="008B55AD" w:rsidRPr="00202F12" w:rsidRDefault="008B55AD">
      <w:pPr>
        <w:rPr>
          <w:sz w:val="22"/>
          <w:szCs w:val="22"/>
        </w:rPr>
      </w:pPr>
    </w:p>
    <w:p w:rsidR="008B55AD" w:rsidRPr="00202F12" w:rsidRDefault="00F72417">
      <w:pPr>
        <w:numPr>
          <w:ilvl w:val="0"/>
          <w:numId w:val="4"/>
        </w:numPr>
        <w:pBdr>
          <w:top w:val="nil"/>
          <w:left w:val="nil"/>
          <w:bottom w:val="nil"/>
          <w:right w:val="nil"/>
          <w:between w:val="nil"/>
        </w:pBdr>
        <w:rPr>
          <w:sz w:val="22"/>
          <w:szCs w:val="22"/>
        </w:rPr>
      </w:pPr>
      <w:r w:rsidRPr="00202F12">
        <w:rPr>
          <w:b/>
          <w:sz w:val="22"/>
          <w:szCs w:val="22"/>
          <w:u w:val="single"/>
        </w:rPr>
        <w:t>OBJETO</w:t>
      </w:r>
    </w:p>
    <w:p w:rsidR="008B55AD" w:rsidRPr="00202F12" w:rsidRDefault="008B55AD">
      <w:pPr>
        <w:rPr>
          <w:b/>
          <w:sz w:val="22"/>
          <w:szCs w:val="22"/>
        </w:rPr>
      </w:pPr>
    </w:p>
    <w:p w:rsidR="008B55AD" w:rsidRPr="00202F12" w:rsidRDefault="00F72417" w:rsidP="00202F12">
      <w:pPr>
        <w:spacing w:before="240" w:after="240" w:line="360" w:lineRule="auto"/>
        <w:jc w:val="both"/>
        <w:rPr>
          <w:sz w:val="22"/>
          <w:szCs w:val="22"/>
        </w:rPr>
      </w:pPr>
      <w:r w:rsidRPr="00202F12">
        <w:rPr>
          <w:sz w:val="22"/>
          <w:szCs w:val="22"/>
        </w:rPr>
        <w:t xml:space="preserve">El presente Proyecto de Acuerdo tiene por objeto </w:t>
      </w:r>
      <w:r w:rsidR="007870E8" w:rsidRPr="00202F12">
        <w:rPr>
          <w:sz w:val="22"/>
          <w:szCs w:val="22"/>
        </w:rPr>
        <w:t xml:space="preserve">reconocer la Caminata de la Solidaridad </w:t>
      </w:r>
      <w:r w:rsidR="007870E8" w:rsidRPr="00202F12">
        <w:rPr>
          <w:sz w:val="22"/>
          <w:szCs w:val="22"/>
        </w:rPr>
        <w:t>como un evento de interés cultural, social y turístico de la ciudad de Bogotá</w:t>
      </w:r>
      <w:r w:rsidR="007870E8" w:rsidRPr="00202F12">
        <w:rPr>
          <w:sz w:val="22"/>
          <w:szCs w:val="22"/>
        </w:rPr>
        <w:t xml:space="preserve"> D.C</w:t>
      </w:r>
      <w:r w:rsidR="007870E8" w:rsidRPr="00202F12">
        <w:rPr>
          <w:sz w:val="22"/>
          <w:szCs w:val="22"/>
        </w:rPr>
        <w:t>, en virtud de su aporte histórico, comunitario y</w:t>
      </w:r>
      <w:r w:rsidR="007870E8" w:rsidRPr="00202F12">
        <w:rPr>
          <w:sz w:val="22"/>
          <w:szCs w:val="22"/>
        </w:rPr>
        <w:t xml:space="preserve"> social a la ciudad. Además, </w:t>
      </w:r>
      <w:r w:rsidR="007870E8" w:rsidRPr="00202F12">
        <w:rPr>
          <w:sz w:val="22"/>
          <w:szCs w:val="22"/>
        </w:rPr>
        <w:t>establecer lineamientos de articulación institucional que permitan su fortalecimiento y consolidación como evento de ciudad</w:t>
      </w:r>
      <w:r w:rsidR="007870E8" w:rsidRPr="00202F12">
        <w:rPr>
          <w:sz w:val="22"/>
          <w:szCs w:val="22"/>
        </w:rPr>
        <w:t>.</w:t>
      </w:r>
    </w:p>
    <w:p w:rsidR="008B55AD" w:rsidRPr="00202F12" w:rsidRDefault="008B55AD">
      <w:pPr>
        <w:spacing w:line="276" w:lineRule="auto"/>
        <w:jc w:val="both"/>
        <w:rPr>
          <w:sz w:val="22"/>
          <w:szCs w:val="22"/>
        </w:rPr>
      </w:pPr>
    </w:p>
    <w:p w:rsidR="008B55AD" w:rsidRPr="00202F12" w:rsidRDefault="00F72417">
      <w:pPr>
        <w:numPr>
          <w:ilvl w:val="0"/>
          <w:numId w:val="4"/>
        </w:numPr>
        <w:pBdr>
          <w:top w:val="nil"/>
          <w:left w:val="nil"/>
          <w:bottom w:val="nil"/>
          <w:right w:val="nil"/>
          <w:between w:val="nil"/>
        </w:pBdr>
        <w:rPr>
          <w:sz w:val="22"/>
          <w:szCs w:val="22"/>
        </w:rPr>
      </w:pPr>
      <w:r w:rsidRPr="00202F12">
        <w:rPr>
          <w:b/>
          <w:sz w:val="22"/>
          <w:szCs w:val="22"/>
          <w:u w:val="single"/>
        </w:rPr>
        <w:t>JUSTIFICACIÓ</w:t>
      </w:r>
      <w:r w:rsidRPr="00202F12">
        <w:rPr>
          <w:b/>
          <w:sz w:val="22"/>
          <w:szCs w:val="22"/>
          <w:u w:val="single"/>
        </w:rPr>
        <w:t>N DEL PROY</w:t>
      </w:r>
      <w:r w:rsidR="007870E8" w:rsidRPr="00202F12">
        <w:rPr>
          <w:b/>
          <w:sz w:val="22"/>
          <w:szCs w:val="22"/>
          <w:u w:val="single"/>
        </w:rPr>
        <w:t>ECTO</w:t>
      </w:r>
    </w:p>
    <w:p w:rsidR="008B55AD" w:rsidRPr="00202F12" w:rsidRDefault="008B55AD">
      <w:pPr>
        <w:jc w:val="both"/>
        <w:rPr>
          <w:sz w:val="22"/>
          <w:szCs w:val="22"/>
        </w:rPr>
      </w:pPr>
    </w:p>
    <w:p w:rsidR="008B55AD" w:rsidRPr="00202F12" w:rsidRDefault="008B55AD">
      <w:pPr>
        <w:jc w:val="both"/>
        <w:rPr>
          <w:sz w:val="22"/>
          <w:szCs w:val="22"/>
        </w:rPr>
      </w:pPr>
    </w:p>
    <w:p w:rsidR="007870E8" w:rsidRPr="00202F12" w:rsidRDefault="007870E8" w:rsidP="00202F12">
      <w:pPr>
        <w:pStyle w:val="Sinespaciado"/>
        <w:spacing w:line="360" w:lineRule="auto"/>
        <w:jc w:val="both"/>
        <w:rPr>
          <w:rFonts w:ascii="Arial" w:hAnsi="Arial" w:cs="Arial"/>
        </w:rPr>
      </w:pPr>
      <w:r w:rsidRPr="00202F12">
        <w:rPr>
          <w:rFonts w:ascii="Arial" w:hAnsi="Arial" w:cs="Arial"/>
        </w:rPr>
        <w:t>La Caminata de la Solidaridad, organizada por la Fundación Solidaridad por Colombia, es uno de los eventos sociales, culturales y turísticos más representativos de la capital. Desde su primera edición en 1979, este evento ha congregado a miles de bogotanos y visitantes en torno a los valores de solidaridad, empatía y compromiso social, promoviendo el fortalecimiento de programas comunitarios en beneficio de la población más vulnerable</w:t>
      </w:r>
      <w:r w:rsidRPr="00202F12">
        <w:rPr>
          <w:rFonts w:ascii="Arial" w:hAnsi="Arial" w:cs="Arial"/>
          <w:vertAlign w:val="superscript"/>
        </w:rPr>
        <w:footnoteReference w:id="1"/>
      </w:r>
      <w:r w:rsidRPr="00202F12">
        <w:rPr>
          <w:rFonts w:ascii="Arial" w:hAnsi="Arial" w:cs="Arial"/>
        </w:rPr>
        <w:t>.</w:t>
      </w:r>
    </w:p>
    <w:p w:rsidR="00202F12" w:rsidRPr="00202F12" w:rsidRDefault="00202F12" w:rsidP="00202F12">
      <w:pPr>
        <w:pStyle w:val="Sinespaciado"/>
        <w:spacing w:line="360" w:lineRule="auto"/>
        <w:jc w:val="both"/>
        <w:rPr>
          <w:rFonts w:ascii="Arial" w:hAnsi="Arial" w:cs="Arial"/>
        </w:rPr>
      </w:pPr>
    </w:p>
    <w:p w:rsidR="00202F12" w:rsidRPr="00202F12" w:rsidRDefault="00202F12" w:rsidP="00202F12">
      <w:pPr>
        <w:pStyle w:val="Sinespaciado"/>
        <w:spacing w:line="360" w:lineRule="auto"/>
        <w:jc w:val="both"/>
        <w:rPr>
          <w:rFonts w:ascii="Arial" w:hAnsi="Arial" w:cs="Arial"/>
        </w:rPr>
      </w:pPr>
      <w:r w:rsidRPr="00202F12">
        <w:rPr>
          <w:rFonts w:ascii="Arial" w:hAnsi="Arial" w:cs="Arial"/>
        </w:rPr>
        <w:t>En 2025, la Caminata</w:t>
      </w:r>
      <w:r w:rsidRPr="00202F12">
        <w:rPr>
          <w:rFonts w:ascii="Arial" w:hAnsi="Arial" w:cs="Arial"/>
        </w:rPr>
        <w:t xml:space="preserve"> conmemoró y celebró</w:t>
      </w:r>
      <w:r w:rsidRPr="00202F12">
        <w:rPr>
          <w:rFonts w:ascii="Arial" w:hAnsi="Arial" w:cs="Arial"/>
        </w:rPr>
        <w:t xml:space="preserve"> su edición número 50, con actividades durante tres días en Bogotá, incluyendo feria, festival, conciertos y la carrera atlética con modalidades de 3K, 5K y 10K. Esta versión contó con la participación de más de 4.000 corredores y aproximadamente 20.000 asistentes en sus diferentes actividades</w:t>
      </w:r>
      <w:r w:rsidRPr="00202F12">
        <w:rPr>
          <w:rFonts w:ascii="Arial" w:hAnsi="Arial" w:cs="Arial"/>
        </w:rPr>
        <w:t>.</w:t>
      </w:r>
    </w:p>
    <w:p w:rsidR="00202F12" w:rsidRPr="00202F12" w:rsidRDefault="00202F12" w:rsidP="00202F12">
      <w:pPr>
        <w:pStyle w:val="Sinespaciado"/>
        <w:spacing w:line="360" w:lineRule="auto"/>
        <w:jc w:val="both"/>
        <w:rPr>
          <w:rFonts w:ascii="Arial" w:hAnsi="Arial" w:cs="Arial"/>
        </w:rPr>
      </w:pPr>
    </w:p>
    <w:p w:rsidR="00202F12" w:rsidRPr="007870E8" w:rsidRDefault="00202F12" w:rsidP="00202F12">
      <w:pPr>
        <w:pStyle w:val="Sinespaciado"/>
        <w:spacing w:line="360" w:lineRule="auto"/>
        <w:jc w:val="both"/>
        <w:rPr>
          <w:rFonts w:ascii="Arial" w:hAnsi="Arial" w:cs="Arial"/>
        </w:rPr>
      </w:pPr>
      <w:r w:rsidRPr="00202F12">
        <w:rPr>
          <w:rFonts w:ascii="Arial" w:hAnsi="Arial" w:cs="Arial"/>
        </w:rPr>
        <w:t xml:space="preserve">Los recursos obtenidos en esta jornada permitieron apoyar a más de 6.000 colombianos </w:t>
      </w:r>
      <w:r>
        <w:rPr>
          <w:rFonts w:ascii="Arial" w:hAnsi="Arial" w:cs="Arial"/>
        </w:rPr>
        <w:t xml:space="preserve">en situación de vulnerabilidad. </w:t>
      </w:r>
      <w:r w:rsidRPr="00202F12">
        <w:rPr>
          <w:rFonts w:ascii="Arial" w:hAnsi="Arial" w:cs="Arial"/>
        </w:rPr>
        <w:t>Este impacto directo convierte a la Caminata en una herramienta de transformación social que trasciende lo</w:t>
      </w:r>
      <w:r w:rsidRPr="00202F12">
        <w:rPr>
          <w:rFonts w:ascii="Arial" w:hAnsi="Arial" w:cs="Arial"/>
        </w:rPr>
        <w:t xml:space="preserve"> </w:t>
      </w:r>
      <w:r w:rsidRPr="00202F12">
        <w:rPr>
          <w:rFonts w:ascii="Arial" w:hAnsi="Arial" w:cs="Arial"/>
        </w:rPr>
        <w:t>deportivo y lo cultural, y la posiciona como un referente de responsabilidad social en América Latina.</w:t>
      </w:r>
    </w:p>
    <w:p w:rsidR="008B55AD" w:rsidRDefault="008B55AD">
      <w:pPr>
        <w:rPr>
          <w:sz w:val="22"/>
          <w:szCs w:val="22"/>
        </w:rPr>
      </w:pPr>
    </w:p>
    <w:p w:rsidR="008B55AD" w:rsidRDefault="008B55AD">
      <w:pPr>
        <w:rPr>
          <w:sz w:val="22"/>
          <w:szCs w:val="22"/>
        </w:rPr>
      </w:pPr>
    </w:p>
    <w:p w:rsidR="008B55AD" w:rsidRDefault="00F72417">
      <w:pPr>
        <w:numPr>
          <w:ilvl w:val="0"/>
          <w:numId w:val="4"/>
        </w:numPr>
        <w:rPr>
          <w:sz w:val="22"/>
          <w:szCs w:val="22"/>
        </w:rPr>
      </w:pPr>
      <w:r>
        <w:rPr>
          <w:b/>
          <w:sz w:val="22"/>
          <w:szCs w:val="22"/>
          <w:u w:val="single"/>
        </w:rPr>
        <w:t>MARCO JURÍDICO DE LA INICIATIVA</w:t>
      </w:r>
    </w:p>
    <w:p w:rsidR="008B55AD" w:rsidRDefault="008B55AD">
      <w:pPr>
        <w:jc w:val="both"/>
        <w:rPr>
          <w:sz w:val="22"/>
          <w:szCs w:val="22"/>
        </w:rPr>
      </w:pPr>
    </w:p>
    <w:p w:rsidR="008B55AD" w:rsidRDefault="00F72417">
      <w:pPr>
        <w:spacing w:before="240" w:after="240"/>
        <w:ind w:firstLine="720"/>
        <w:jc w:val="both"/>
        <w:rPr>
          <w:sz w:val="22"/>
          <w:szCs w:val="22"/>
        </w:rPr>
      </w:pPr>
      <w:r>
        <w:rPr>
          <w:b/>
          <w:sz w:val="22"/>
          <w:szCs w:val="22"/>
        </w:rPr>
        <w:t xml:space="preserve">MARCO CONSTITUCIONAL </w:t>
      </w:r>
    </w:p>
    <w:p w:rsidR="00202F12" w:rsidRDefault="00202F12" w:rsidP="00202F12">
      <w:pPr>
        <w:tabs>
          <w:tab w:val="left" w:pos="1560"/>
        </w:tabs>
        <w:spacing w:after="240" w:line="360" w:lineRule="auto"/>
        <w:ind w:left="720"/>
        <w:jc w:val="both"/>
        <w:rPr>
          <w:b/>
        </w:rPr>
      </w:pPr>
      <w:r>
        <w:rPr>
          <w:b/>
        </w:rPr>
        <w:t>Constitución Política de Colombia:</w:t>
      </w:r>
    </w:p>
    <w:p w:rsidR="00202F12" w:rsidRPr="00202F12" w:rsidRDefault="00202F12" w:rsidP="00645350">
      <w:pPr>
        <w:numPr>
          <w:ilvl w:val="0"/>
          <w:numId w:val="18"/>
        </w:numPr>
        <w:spacing w:before="280" w:line="360" w:lineRule="auto"/>
        <w:jc w:val="both"/>
        <w:rPr>
          <w:i/>
          <w:color w:val="000000"/>
        </w:rPr>
      </w:pPr>
      <w:r w:rsidRPr="00202F12">
        <w:rPr>
          <w:b/>
          <w:i/>
          <w:color w:val="000000"/>
        </w:rPr>
        <w:t>Artículo 1.</w:t>
      </w:r>
      <w:r w:rsidRPr="00202F12">
        <w:rPr>
          <w:i/>
          <w:color w:val="000000"/>
        </w:rPr>
        <w:t xml:space="preserve"> Colombia es un Estado Social de Derecho, organizado en forma de República unitaria, descentralizada, con autonomía de sus entidades territoriales, democrática, participativa y pluralista, fundada en el respeto de la dignidad humana, en el trabajo y la solidaridad de las personas que la integran y en la prevalencia del interés general.</w:t>
      </w:r>
    </w:p>
    <w:p w:rsidR="00202F12" w:rsidRPr="00202F12" w:rsidRDefault="00202F12" w:rsidP="00645350">
      <w:pPr>
        <w:spacing w:before="280" w:line="360" w:lineRule="auto"/>
        <w:ind w:left="1440"/>
        <w:jc w:val="both"/>
        <w:rPr>
          <w:i/>
          <w:color w:val="000000"/>
        </w:rPr>
      </w:pPr>
    </w:p>
    <w:p w:rsidR="00202F12" w:rsidRPr="00202F12" w:rsidRDefault="00202F12" w:rsidP="00645350">
      <w:pPr>
        <w:numPr>
          <w:ilvl w:val="0"/>
          <w:numId w:val="18"/>
        </w:numPr>
        <w:spacing w:line="360" w:lineRule="auto"/>
        <w:jc w:val="both"/>
        <w:rPr>
          <w:i/>
          <w:color w:val="000000"/>
        </w:rPr>
      </w:pPr>
      <w:r w:rsidRPr="00202F12">
        <w:rPr>
          <w:b/>
          <w:i/>
          <w:color w:val="000000"/>
        </w:rPr>
        <w:t>Artículo 2.</w:t>
      </w:r>
      <w:r w:rsidRPr="00202F12">
        <w:rPr>
          <w:i/>
          <w:color w:val="000000"/>
        </w:rPr>
        <w:t xml:space="preserve"> 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rsidR="00202F12" w:rsidRPr="00202F12" w:rsidRDefault="00202F12" w:rsidP="00645350">
      <w:pPr>
        <w:pStyle w:val="Prrafodelista"/>
        <w:spacing w:line="360" w:lineRule="auto"/>
        <w:rPr>
          <w:i/>
          <w:color w:val="000000"/>
        </w:rPr>
      </w:pPr>
    </w:p>
    <w:p w:rsidR="00202F12" w:rsidRPr="00202F12" w:rsidRDefault="00202F12" w:rsidP="00645350">
      <w:pPr>
        <w:spacing w:line="360" w:lineRule="auto"/>
        <w:ind w:left="1440"/>
        <w:jc w:val="both"/>
        <w:rPr>
          <w:i/>
          <w:color w:val="000000"/>
        </w:rPr>
      </w:pPr>
    </w:p>
    <w:p w:rsidR="00202F12" w:rsidRDefault="00202F12" w:rsidP="00C2375C">
      <w:pPr>
        <w:numPr>
          <w:ilvl w:val="0"/>
          <w:numId w:val="18"/>
        </w:numPr>
        <w:spacing w:line="360" w:lineRule="auto"/>
        <w:jc w:val="both"/>
        <w:rPr>
          <w:i/>
          <w:color w:val="000000"/>
        </w:rPr>
      </w:pPr>
      <w:r w:rsidRPr="00202F12">
        <w:rPr>
          <w:b/>
          <w:i/>
          <w:color w:val="000000"/>
        </w:rPr>
        <w:lastRenderedPageBreak/>
        <w:t>Artículo 7.</w:t>
      </w:r>
      <w:r w:rsidRPr="00202F12">
        <w:rPr>
          <w:i/>
          <w:color w:val="000000"/>
        </w:rPr>
        <w:t xml:space="preserve"> El Estado reconoce y protege la diversidad étnica y cultural de la Nación colombiana.</w:t>
      </w:r>
    </w:p>
    <w:p w:rsidR="00C2375C" w:rsidRPr="00C2375C" w:rsidRDefault="00C2375C" w:rsidP="00C2375C">
      <w:pPr>
        <w:spacing w:line="360" w:lineRule="auto"/>
        <w:ind w:left="1440"/>
        <w:jc w:val="both"/>
        <w:rPr>
          <w:i/>
          <w:color w:val="000000"/>
        </w:rPr>
      </w:pPr>
    </w:p>
    <w:p w:rsidR="00202F12" w:rsidRDefault="00202F12" w:rsidP="00645350">
      <w:pPr>
        <w:numPr>
          <w:ilvl w:val="0"/>
          <w:numId w:val="18"/>
        </w:numPr>
        <w:spacing w:line="360" w:lineRule="auto"/>
        <w:jc w:val="both"/>
        <w:rPr>
          <w:i/>
          <w:color w:val="000000"/>
        </w:rPr>
      </w:pPr>
      <w:r w:rsidRPr="00202F12">
        <w:rPr>
          <w:b/>
          <w:i/>
          <w:color w:val="000000"/>
        </w:rPr>
        <w:t>Artículo 8.</w:t>
      </w:r>
      <w:r w:rsidRPr="00202F12">
        <w:rPr>
          <w:i/>
          <w:color w:val="000000"/>
        </w:rPr>
        <w:t xml:space="preserve"> Es obligación del Estado y de las personas proteger las riquezas culturales y naturales de la Nación.</w:t>
      </w:r>
    </w:p>
    <w:p w:rsidR="00C2375C" w:rsidRPr="00202F12" w:rsidRDefault="00C2375C" w:rsidP="00C2375C">
      <w:pPr>
        <w:spacing w:line="360" w:lineRule="auto"/>
        <w:jc w:val="both"/>
        <w:rPr>
          <w:i/>
          <w:color w:val="000000"/>
        </w:rPr>
      </w:pPr>
    </w:p>
    <w:p w:rsidR="00202F12" w:rsidRPr="00202F12" w:rsidRDefault="00202F12" w:rsidP="00645350">
      <w:pPr>
        <w:numPr>
          <w:ilvl w:val="0"/>
          <w:numId w:val="18"/>
        </w:numPr>
        <w:spacing w:line="360" w:lineRule="auto"/>
        <w:jc w:val="both"/>
        <w:rPr>
          <w:i/>
          <w:color w:val="000000"/>
        </w:rPr>
      </w:pPr>
      <w:r w:rsidRPr="00202F12">
        <w:rPr>
          <w:b/>
          <w:i/>
          <w:color w:val="000000"/>
        </w:rPr>
        <w:t>Artículo 70.</w:t>
      </w:r>
      <w:r w:rsidRPr="00202F12">
        <w:rPr>
          <w:i/>
          <w:color w:val="000000"/>
        </w:rPr>
        <w:t xml:space="preserve"> El Estado tiene el deber de promover y fomentar el acceso a la cultura de todos los colombianos en igualdad de oportunidades, por medio de la educación permanente y la enseñanza científica, técnica, artística y profesional en todas las etapas del proceso de creación de la identidad nacional. La cultura en sus diversas manifestaciones es fundamento de la nacionalidad. El Estado reconocerá la igualdad y dignidad de todas las que conviven en el país. El Estado promoverá la investigación, la ciencia, el desarrollo y la difusión de los valores culturales de la Nación.</w:t>
      </w:r>
    </w:p>
    <w:p w:rsidR="00202F12" w:rsidRPr="00202F12" w:rsidRDefault="00202F12" w:rsidP="00645350">
      <w:pPr>
        <w:spacing w:line="360" w:lineRule="auto"/>
        <w:ind w:left="1440"/>
        <w:jc w:val="both"/>
        <w:rPr>
          <w:i/>
          <w:color w:val="000000"/>
        </w:rPr>
      </w:pPr>
    </w:p>
    <w:p w:rsidR="00202F12" w:rsidRPr="00202F12" w:rsidRDefault="00202F12" w:rsidP="00645350">
      <w:pPr>
        <w:numPr>
          <w:ilvl w:val="0"/>
          <w:numId w:val="18"/>
        </w:numPr>
        <w:spacing w:after="280" w:line="360" w:lineRule="auto"/>
        <w:jc w:val="both"/>
        <w:rPr>
          <w:i/>
          <w:color w:val="000000"/>
        </w:rPr>
      </w:pPr>
      <w:r w:rsidRPr="00202F12">
        <w:rPr>
          <w:b/>
          <w:i/>
          <w:color w:val="000000"/>
        </w:rPr>
        <w:t>Artículo 71.</w:t>
      </w:r>
      <w:r w:rsidRPr="00202F12">
        <w:rPr>
          <w:i/>
          <w:color w:val="000000"/>
        </w:rPr>
        <w:t xml:space="preserve"> La búsqueda del conocimiento y la expresión artística son libres. Los planes de desarrollo económico y social incluirán el fomento a las ciencias y, en general, a la cultura. El Estado creará incentivos para personas e instituciones que desarrollen y fomenten la ciencia y la tecnología y las demás manifestaciones culturales y ofrecerá estímulos especiales a personas e instituciones que ejerzan estas actividades.</w:t>
      </w:r>
    </w:p>
    <w:p w:rsidR="008B55AD" w:rsidRDefault="008B55AD" w:rsidP="00645350">
      <w:pPr>
        <w:spacing w:line="360" w:lineRule="auto"/>
        <w:ind w:left="1440"/>
        <w:jc w:val="both"/>
        <w:rPr>
          <w:i/>
          <w:sz w:val="22"/>
          <w:szCs w:val="22"/>
        </w:rPr>
      </w:pPr>
    </w:p>
    <w:p w:rsidR="00C2375C" w:rsidRDefault="00C2375C" w:rsidP="00645350">
      <w:pPr>
        <w:spacing w:line="360" w:lineRule="auto"/>
        <w:ind w:left="1440"/>
        <w:jc w:val="both"/>
        <w:rPr>
          <w:i/>
          <w:sz w:val="22"/>
          <w:szCs w:val="22"/>
        </w:rPr>
      </w:pPr>
    </w:p>
    <w:p w:rsidR="00C2375C" w:rsidRDefault="00C2375C" w:rsidP="00645350">
      <w:pPr>
        <w:spacing w:line="360" w:lineRule="auto"/>
        <w:ind w:left="1440"/>
        <w:jc w:val="both"/>
        <w:rPr>
          <w:i/>
          <w:sz w:val="22"/>
          <w:szCs w:val="22"/>
        </w:rPr>
      </w:pPr>
      <w:bookmarkStart w:id="1" w:name="_GoBack"/>
      <w:bookmarkEnd w:id="1"/>
    </w:p>
    <w:p w:rsidR="008B55AD" w:rsidRDefault="00F72417" w:rsidP="00645350">
      <w:pPr>
        <w:spacing w:before="240" w:after="240" w:line="360" w:lineRule="auto"/>
        <w:rPr>
          <w:b/>
          <w:sz w:val="22"/>
          <w:szCs w:val="22"/>
        </w:rPr>
      </w:pPr>
      <w:r>
        <w:rPr>
          <w:sz w:val="22"/>
          <w:szCs w:val="22"/>
        </w:rPr>
        <w:lastRenderedPageBreak/>
        <w:tab/>
      </w:r>
      <w:r>
        <w:rPr>
          <w:b/>
          <w:sz w:val="22"/>
          <w:szCs w:val="22"/>
        </w:rPr>
        <w:t>MARCO LEGAL</w:t>
      </w:r>
    </w:p>
    <w:p w:rsidR="00202F12" w:rsidRDefault="00202F12" w:rsidP="00645350">
      <w:pPr>
        <w:tabs>
          <w:tab w:val="left" w:pos="1560"/>
        </w:tabs>
        <w:spacing w:after="240" w:line="360" w:lineRule="auto"/>
        <w:ind w:left="720"/>
        <w:jc w:val="both"/>
        <w:rPr>
          <w:b/>
        </w:rPr>
      </w:pPr>
      <w:r>
        <w:rPr>
          <w:b/>
        </w:rPr>
        <w:t>Ley 397 de 1997:</w:t>
      </w:r>
    </w:p>
    <w:p w:rsidR="00202F12" w:rsidRPr="00645350" w:rsidRDefault="00202F12" w:rsidP="00645350">
      <w:pPr>
        <w:numPr>
          <w:ilvl w:val="0"/>
          <w:numId w:val="19"/>
        </w:numPr>
        <w:pBdr>
          <w:top w:val="nil"/>
          <w:left w:val="nil"/>
          <w:bottom w:val="nil"/>
          <w:right w:val="nil"/>
          <w:between w:val="nil"/>
        </w:pBdr>
        <w:tabs>
          <w:tab w:val="left" w:pos="1560"/>
        </w:tabs>
        <w:spacing w:after="240" w:line="360" w:lineRule="auto"/>
        <w:jc w:val="both"/>
        <w:rPr>
          <w:b/>
          <w:color w:val="000000"/>
        </w:rPr>
      </w:pPr>
      <w:r>
        <w:rPr>
          <w:b/>
          <w:color w:val="000000"/>
        </w:rPr>
        <w:t xml:space="preserve">Artículo 4. </w:t>
      </w:r>
      <w:r>
        <w:rPr>
          <w:color w:val="000000"/>
        </w:rPr>
        <w:t>El patrimonio cultural de la Nación está constituido por todos los bienes materiales, las manifestaciones inmateriales, los productos y las representaciones de la cultura que son expresión de la nacionalidad colombiana.</w:t>
      </w:r>
    </w:p>
    <w:p w:rsidR="00202F12" w:rsidRDefault="00202F12" w:rsidP="00645350">
      <w:pPr>
        <w:tabs>
          <w:tab w:val="left" w:pos="1560"/>
        </w:tabs>
        <w:spacing w:after="240" w:line="360" w:lineRule="auto"/>
        <w:ind w:left="720"/>
        <w:jc w:val="both"/>
        <w:rPr>
          <w:b/>
        </w:rPr>
      </w:pPr>
      <w:r>
        <w:rPr>
          <w:b/>
        </w:rPr>
        <w:t>Ley 1185 de 2008:</w:t>
      </w:r>
    </w:p>
    <w:p w:rsidR="00202F12" w:rsidRDefault="00202F12" w:rsidP="00645350">
      <w:pPr>
        <w:numPr>
          <w:ilvl w:val="0"/>
          <w:numId w:val="19"/>
        </w:numPr>
        <w:pBdr>
          <w:top w:val="nil"/>
          <w:left w:val="nil"/>
          <w:bottom w:val="nil"/>
          <w:right w:val="nil"/>
          <w:between w:val="nil"/>
        </w:pBdr>
        <w:tabs>
          <w:tab w:val="left" w:pos="1560"/>
        </w:tabs>
        <w:spacing w:after="240" w:line="360" w:lineRule="auto"/>
        <w:jc w:val="both"/>
        <w:rPr>
          <w:color w:val="000000"/>
        </w:rPr>
      </w:pPr>
      <w:r>
        <w:rPr>
          <w:b/>
          <w:color w:val="000000"/>
        </w:rPr>
        <w:t xml:space="preserve">Artículo 1. </w:t>
      </w:r>
      <w:r>
        <w:rPr>
          <w:color w:val="000000"/>
        </w:rPr>
        <w:t>El patrimonio cultural de la Nación está constituido por todos los bienes materiales, las manifestaciones inmateriales, los productos y las representaciones de la cultura que son expresión de la nacionalidad colombiana, incluyendo el patrimonio cultural inmaterial, en el cual se inscriben las tradiciones, expresiones orales, prácticas sociales, rituales, actos festivos y conocimientos tradicionales.</w:t>
      </w:r>
    </w:p>
    <w:p w:rsidR="00202F12" w:rsidRDefault="00202F12" w:rsidP="00645350">
      <w:pPr>
        <w:tabs>
          <w:tab w:val="left" w:pos="1560"/>
        </w:tabs>
        <w:spacing w:after="240" w:line="360" w:lineRule="auto"/>
        <w:ind w:left="720"/>
        <w:jc w:val="both"/>
        <w:rPr>
          <w:b/>
        </w:rPr>
      </w:pPr>
      <w:r>
        <w:rPr>
          <w:b/>
        </w:rPr>
        <w:t>Ley 1493 de 2011:</w:t>
      </w:r>
    </w:p>
    <w:p w:rsidR="00202F12" w:rsidRPr="00645350" w:rsidRDefault="00202F12" w:rsidP="00645350">
      <w:pPr>
        <w:numPr>
          <w:ilvl w:val="0"/>
          <w:numId w:val="19"/>
        </w:numPr>
        <w:pBdr>
          <w:top w:val="nil"/>
          <w:left w:val="nil"/>
          <w:bottom w:val="nil"/>
          <w:right w:val="nil"/>
          <w:between w:val="nil"/>
        </w:pBdr>
        <w:tabs>
          <w:tab w:val="left" w:pos="1560"/>
        </w:tabs>
        <w:spacing w:after="240" w:line="360" w:lineRule="auto"/>
        <w:jc w:val="both"/>
        <w:rPr>
          <w:b/>
          <w:color w:val="000000"/>
        </w:rPr>
      </w:pPr>
      <w:r>
        <w:rPr>
          <w:b/>
          <w:color w:val="000000"/>
        </w:rPr>
        <w:t xml:space="preserve">Artículo 2. </w:t>
      </w:r>
      <w:r>
        <w:rPr>
          <w:color w:val="000000"/>
        </w:rPr>
        <w:t>La presente ley tiene por objeto adoptar medidas para la formalización y la regulación del sector del espectáculo público de las artes escénicas, garantizando la protección y el fomento de dichas actividades como manifestaciones culturales.</w:t>
      </w:r>
    </w:p>
    <w:p w:rsidR="00645350" w:rsidRDefault="00645350" w:rsidP="00645350">
      <w:pPr>
        <w:pBdr>
          <w:top w:val="nil"/>
          <w:left w:val="nil"/>
          <w:bottom w:val="nil"/>
          <w:right w:val="nil"/>
          <w:between w:val="nil"/>
        </w:pBdr>
        <w:tabs>
          <w:tab w:val="left" w:pos="1560"/>
        </w:tabs>
        <w:spacing w:after="240" w:line="360" w:lineRule="auto"/>
        <w:jc w:val="both"/>
        <w:rPr>
          <w:b/>
          <w:color w:val="000000"/>
        </w:rPr>
      </w:pPr>
    </w:p>
    <w:p w:rsidR="00645350" w:rsidRDefault="00645350" w:rsidP="00645350">
      <w:pPr>
        <w:pBdr>
          <w:top w:val="nil"/>
          <w:left w:val="nil"/>
          <w:bottom w:val="nil"/>
          <w:right w:val="nil"/>
          <w:between w:val="nil"/>
        </w:pBdr>
        <w:tabs>
          <w:tab w:val="left" w:pos="1560"/>
        </w:tabs>
        <w:spacing w:after="240" w:line="360" w:lineRule="auto"/>
        <w:jc w:val="both"/>
        <w:rPr>
          <w:b/>
          <w:color w:val="000000"/>
        </w:rPr>
      </w:pPr>
    </w:p>
    <w:p w:rsidR="00202F12" w:rsidRDefault="00202F12" w:rsidP="00645350">
      <w:pPr>
        <w:tabs>
          <w:tab w:val="left" w:pos="1560"/>
        </w:tabs>
        <w:spacing w:after="240" w:line="360" w:lineRule="auto"/>
        <w:ind w:left="720"/>
        <w:jc w:val="both"/>
        <w:rPr>
          <w:b/>
        </w:rPr>
      </w:pPr>
      <w:r>
        <w:rPr>
          <w:b/>
        </w:rPr>
        <w:lastRenderedPageBreak/>
        <w:t>Decreto Ley 1421 de 1993:</w:t>
      </w:r>
    </w:p>
    <w:p w:rsidR="00202F12" w:rsidRDefault="00202F12" w:rsidP="00645350">
      <w:pPr>
        <w:numPr>
          <w:ilvl w:val="0"/>
          <w:numId w:val="19"/>
        </w:numPr>
        <w:pBdr>
          <w:top w:val="nil"/>
          <w:left w:val="nil"/>
          <w:bottom w:val="nil"/>
          <w:right w:val="nil"/>
          <w:between w:val="nil"/>
        </w:pBdr>
        <w:tabs>
          <w:tab w:val="left" w:pos="1560"/>
        </w:tabs>
        <w:spacing w:after="240" w:line="360" w:lineRule="auto"/>
        <w:jc w:val="both"/>
        <w:rPr>
          <w:color w:val="000000"/>
        </w:rPr>
      </w:pPr>
      <w:r>
        <w:rPr>
          <w:b/>
          <w:color w:val="000000"/>
        </w:rPr>
        <w:t xml:space="preserve">Artículo 12. </w:t>
      </w:r>
      <w:r>
        <w:rPr>
          <w:color w:val="000000"/>
        </w:rPr>
        <w:t>Corresponde al Concejo Distrital, de conformidad con la Constitución y la ley: Dictar las normas necesarias para garantizar el adecuado cumplimiento de las funciones y la eficiente prestación de los servicios a cargo del Distrito. Regular la preservación y defensa del patrimonio cultural.</w:t>
      </w:r>
    </w:p>
    <w:p w:rsidR="00202F12" w:rsidRDefault="00202F12" w:rsidP="00645350">
      <w:pPr>
        <w:numPr>
          <w:ilvl w:val="0"/>
          <w:numId w:val="19"/>
        </w:numPr>
        <w:pBdr>
          <w:top w:val="nil"/>
          <w:left w:val="nil"/>
          <w:bottom w:val="nil"/>
          <w:right w:val="nil"/>
          <w:between w:val="nil"/>
        </w:pBdr>
        <w:tabs>
          <w:tab w:val="left" w:pos="1560"/>
        </w:tabs>
        <w:spacing w:after="240" w:line="360" w:lineRule="auto"/>
        <w:jc w:val="both"/>
        <w:rPr>
          <w:color w:val="000000"/>
        </w:rPr>
      </w:pPr>
      <w:r>
        <w:rPr>
          <w:b/>
          <w:color w:val="000000"/>
        </w:rPr>
        <w:t xml:space="preserve">Artículo 13. </w:t>
      </w:r>
      <w:r>
        <w:rPr>
          <w:color w:val="000000"/>
        </w:rPr>
        <w:t>Los proyectos de Acuerdo pueden ser presentados por los concejales y el alcalde mayor por conducto de sus secretarios, jefes de departamento administrativo o representantes legales de las entidades descentralizadas. El personero, el contralor y las juntas administradoras los pueden presentar en materias relacionadas con sus atribuciones. De conformidad con la respectiva ley estatutaria, los ciudadanos y las organizaciones sociales podrán presentar proyectos de acuerdo sobre temas de interés comunitario.</w:t>
      </w:r>
    </w:p>
    <w:p w:rsidR="00202F12" w:rsidRDefault="00202F12" w:rsidP="00645350">
      <w:pPr>
        <w:tabs>
          <w:tab w:val="left" w:pos="1560"/>
        </w:tabs>
        <w:spacing w:after="240" w:line="360" w:lineRule="auto"/>
        <w:jc w:val="both"/>
      </w:pPr>
    </w:p>
    <w:p w:rsidR="00202F12" w:rsidRDefault="00202F12" w:rsidP="00645350">
      <w:pPr>
        <w:pBdr>
          <w:top w:val="nil"/>
          <w:left w:val="nil"/>
          <w:bottom w:val="nil"/>
          <w:right w:val="nil"/>
          <w:between w:val="nil"/>
        </w:pBdr>
        <w:tabs>
          <w:tab w:val="left" w:pos="1560"/>
        </w:tabs>
        <w:spacing w:after="240" w:line="360" w:lineRule="auto"/>
        <w:ind w:left="720"/>
        <w:jc w:val="both"/>
        <w:rPr>
          <w:b/>
          <w:color w:val="000000"/>
        </w:rPr>
      </w:pPr>
      <w:r>
        <w:rPr>
          <w:b/>
          <w:color w:val="000000"/>
        </w:rPr>
        <w:t>Decreto Distrital 555 de 2021:</w:t>
      </w:r>
    </w:p>
    <w:p w:rsidR="00202F12" w:rsidRDefault="00202F12" w:rsidP="00645350">
      <w:pPr>
        <w:numPr>
          <w:ilvl w:val="0"/>
          <w:numId w:val="20"/>
        </w:numPr>
        <w:pBdr>
          <w:top w:val="nil"/>
          <w:left w:val="nil"/>
          <w:bottom w:val="nil"/>
          <w:right w:val="nil"/>
          <w:between w:val="nil"/>
        </w:pBdr>
        <w:tabs>
          <w:tab w:val="left" w:pos="1560"/>
        </w:tabs>
        <w:spacing w:after="240" w:line="360" w:lineRule="auto"/>
        <w:jc w:val="both"/>
        <w:rPr>
          <w:color w:val="000000"/>
        </w:rPr>
      </w:pPr>
      <w:r>
        <w:rPr>
          <w:b/>
          <w:color w:val="000000"/>
        </w:rPr>
        <w:t xml:space="preserve">Artículo 570. </w:t>
      </w:r>
      <w:r>
        <w:rPr>
          <w:color w:val="000000"/>
        </w:rPr>
        <w:t xml:space="preserve">Programa Territorios Productivos, Competitivos e Innovadores. El programa aporta a los objetivos del Plan de Ordenamiento Territorial de promover el dinamismo, la reactivación económica y la creación de empleos, alcanzar el desarrollo rural sostenible y reducir los desequilibrios y desigualdades para un territorio más solidario y cuidador. Se apuesta por el impulso a proyectos que generen actividades económicas asociadas al emprendimiento, la creatividad, la innovación y la cultura, que se </w:t>
      </w:r>
      <w:r>
        <w:rPr>
          <w:color w:val="000000"/>
        </w:rPr>
        <w:lastRenderedPageBreak/>
        <w:t>complementa con las áreas residenciales donde se interactúa a partir del sistema de movilidad.</w:t>
      </w:r>
    </w:p>
    <w:p w:rsidR="00202F12" w:rsidRDefault="00202F12" w:rsidP="00645350">
      <w:pPr>
        <w:tabs>
          <w:tab w:val="left" w:pos="1560"/>
        </w:tabs>
        <w:spacing w:after="240" w:line="360" w:lineRule="auto"/>
        <w:ind w:left="720"/>
        <w:jc w:val="both"/>
        <w:rPr>
          <w:b/>
        </w:rPr>
      </w:pPr>
      <w:r>
        <w:rPr>
          <w:b/>
        </w:rPr>
        <w:t>Acuerdo Distrital 927 de 2024:</w:t>
      </w:r>
    </w:p>
    <w:p w:rsidR="00202F12" w:rsidRDefault="00202F12" w:rsidP="00645350">
      <w:pPr>
        <w:numPr>
          <w:ilvl w:val="0"/>
          <w:numId w:val="20"/>
        </w:numPr>
        <w:pBdr>
          <w:top w:val="nil"/>
          <w:left w:val="nil"/>
          <w:bottom w:val="nil"/>
          <w:right w:val="nil"/>
          <w:between w:val="nil"/>
        </w:pBdr>
        <w:tabs>
          <w:tab w:val="left" w:pos="1560"/>
        </w:tabs>
        <w:spacing w:after="240" w:line="360" w:lineRule="auto"/>
        <w:jc w:val="both"/>
        <w:rPr>
          <w:color w:val="000000"/>
        </w:rPr>
      </w:pPr>
      <w:r>
        <w:rPr>
          <w:b/>
          <w:color w:val="000000"/>
        </w:rPr>
        <w:t xml:space="preserve">Artículo 12.4. </w:t>
      </w:r>
      <w:r>
        <w:rPr>
          <w:color w:val="000000"/>
        </w:rPr>
        <w:t>Programa 19 – Desarrollo empresarial, productivo y empleo. El programa parte de la necesidad que tiene Bogotá de posicionarse como un destino atractivo para la inversión extranjera, la creación y potencialización de empresas innovadoras, la realización de grandes eventos, realizar aprovechamiento económico racional del espacio público y la atracción de turistas. Para ello, este programa fortalecerá el tejido empresarial de Bogotá mediante estrategias que promuevan mejoras en la productividad de las empresas a través de la innovación, la participación en mercados internacionales y el posicionamiento de la ciudad como destino de inversión extranjera directa y epicentro de eventos de ciudad con alcance internacional.</w:t>
      </w:r>
    </w:p>
    <w:p w:rsidR="00202F12" w:rsidRDefault="00202F12" w:rsidP="00645350">
      <w:pPr>
        <w:numPr>
          <w:ilvl w:val="0"/>
          <w:numId w:val="20"/>
        </w:numPr>
        <w:pBdr>
          <w:top w:val="nil"/>
          <w:left w:val="nil"/>
          <w:bottom w:val="nil"/>
          <w:right w:val="nil"/>
          <w:between w:val="nil"/>
        </w:pBdr>
        <w:tabs>
          <w:tab w:val="left" w:pos="1560"/>
        </w:tabs>
        <w:spacing w:after="240" w:line="360" w:lineRule="auto"/>
        <w:jc w:val="both"/>
        <w:rPr>
          <w:color w:val="000000"/>
        </w:rPr>
      </w:pPr>
      <w:r>
        <w:rPr>
          <w:b/>
          <w:color w:val="000000"/>
        </w:rPr>
        <w:t xml:space="preserve">Artículo 106. </w:t>
      </w:r>
      <w:r>
        <w:rPr>
          <w:color w:val="000000"/>
        </w:rPr>
        <w:t>Estrategia Distrital de Turismo. El Instituto Distrital de Turismo adelantará una estrategia para el desarrollo del sistema Distrital de Turismo, en consonancia con el artículo 570 del Decreto 555 de 2021, como esquema que permita generar acciones y proyectos interinstitucionales para la consolidación de Bogotá Región como destino líder en Colombia y Latinoamérica.</w:t>
      </w:r>
    </w:p>
    <w:p w:rsidR="008B55AD" w:rsidRDefault="008B55AD" w:rsidP="00645350">
      <w:pPr>
        <w:spacing w:before="240" w:after="240" w:line="360" w:lineRule="auto"/>
        <w:rPr>
          <w:b/>
          <w:sz w:val="22"/>
          <w:szCs w:val="22"/>
        </w:rPr>
      </w:pPr>
    </w:p>
    <w:p w:rsidR="00645350" w:rsidRDefault="00645350" w:rsidP="00645350">
      <w:pPr>
        <w:spacing w:before="240" w:after="240" w:line="360" w:lineRule="auto"/>
        <w:rPr>
          <w:b/>
          <w:sz w:val="22"/>
          <w:szCs w:val="22"/>
        </w:rPr>
      </w:pPr>
    </w:p>
    <w:p w:rsidR="00645350" w:rsidRDefault="00645350" w:rsidP="00645350">
      <w:pPr>
        <w:spacing w:before="240" w:after="240" w:line="360" w:lineRule="auto"/>
        <w:rPr>
          <w:b/>
          <w:sz w:val="22"/>
          <w:szCs w:val="22"/>
        </w:rPr>
      </w:pPr>
    </w:p>
    <w:p w:rsidR="008B55AD" w:rsidRDefault="00F72417" w:rsidP="00645350">
      <w:pPr>
        <w:numPr>
          <w:ilvl w:val="0"/>
          <w:numId w:val="4"/>
        </w:numPr>
        <w:spacing w:line="360" w:lineRule="auto"/>
        <w:jc w:val="both"/>
        <w:rPr>
          <w:sz w:val="22"/>
          <w:szCs w:val="22"/>
        </w:rPr>
      </w:pPr>
      <w:r>
        <w:rPr>
          <w:b/>
          <w:sz w:val="22"/>
          <w:szCs w:val="22"/>
          <w:u w:val="single"/>
        </w:rPr>
        <w:lastRenderedPageBreak/>
        <w:t>COMPETENCIA DEL CONCEJO DE BOGOTÁ</w:t>
      </w:r>
    </w:p>
    <w:p w:rsidR="008B55AD" w:rsidRDefault="008B55AD" w:rsidP="00645350">
      <w:pPr>
        <w:spacing w:line="360" w:lineRule="auto"/>
        <w:jc w:val="both"/>
        <w:rPr>
          <w:b/>
          <w:sz w:val="22"/>
          <w:szCs w:val="22"/>
          <w:u w:val="single"/>
        </w:rPr>
      </w:pPr>
    </w:p>
    <w:p w:rsidR="008B55AD" w:rsidRDefault="008B55AD" w:rsidP="00645350">
      <w:pPr>
        <w:spacing w:line="360" w:lineRule="auto"/>
        <w:jc w:val="both"/>
        <w:rPr>
          <w:b/>
          <w:sz w:val="22"/>
          <w:szCs w:val="22"/>
          <w:u w:val="single"/>
        </w:rPr>
      </w:pPr>
    </w:p>
    <w:p w:rsidR="008B55AD" w:rsidRPr="00202F12" w:rsidRDefault="00F72417" w:rsidP="00645350">
      <w:pPr>
        <w:pStyle w:val="Prrafodelista"/>
        <w:numPr>
          <w:ilvl w:val="0"/>
          <w:numId w:val="21"/>
        </w:numPr>
        <w:spacing w:line="360" w:lineRule="auto"/>
        <w:jc w:val="both"/>
        <w:rPr>
          <w:b/>
          <w:sz w:val="22"/>
          <w:szCs w:val="22"/>
        </w:rPr>
      </w:pPr>
      <w:r w:rsidRPr="00202F12">
        <w:rPr>
          <w:b/>
          <w:sz w:val="22"/>
          <w:szCs w:val="22"/>
        </w:rPr>
        <w:t>Constitución Política De Colombia</w:t>
      </w:r>
    </w:p>
    <w:p w:rsidR="008B55AD" w:rsidRDefault="008B55AD" w:rsidP="00645350">
      <w:pPr>
        <w:spacing w:line="360" w:lineRule="auto"/>
        <w:jc w:val="both"/>
        <w:rPr>
          <w:sz w:val="22"/>
          <w:szCs w:val="22"/>
        </w:rPr>
      </w:pPr>
    </w:p>
    <w:p w:rsidR="008B55AD" w:rsidRPr="00645350" w:rsidRDefault="00F72417" w:rsidP="00645350">
      <w:pPr>
        <w:spacing w:line="360" w:lineRule="auto"/>
        <w:jc w:val="both"/>
        <w:rPr>
          <w:sz w:val="22"/>
          <w:szCs w:val="22"/>
        </w:rPr>
      </w:pPr>
      <w:r w:rsidRPr="00645350">
        <w:rPr>
          <w:sz w:val="22"/>
          <w:szCs w:val="22"/>
        </w:rPr>
        <w:t>Artícu</w:t>
      </w:r>
      <w:r w:rsidRPr="00645350">
        <w:rPr>
          <w:sz w:val="22"/>
          <w:szCs w:val="22"/>
        </w:rPr>
        <w:t xml:space="preserve">lo 313. Corresponde a los concejos: </w:t>
      </w:r>
    </w:p>
    <w:p w:rsidR="008B55AD" w:rsidRPr="00645350" w:rsidRDefault="008B55AD" w:rsidP="00645350">
      <w:pPr>
        <w:spacing w:line="360" w:lineRule="auto"/>
        <w:jc w:val="both"/>
        <w:rPr>
          <w:sz w:val="22"/>
          <w:szCs w:val="22"/>
        </w:rPr>
      </w:pPr>
    </w:p>
    <w:p w:rsidR="008B55AD" w:rsidRPr="00645350" w:rsidRDefault="00F72417" w:rsidP="00645350">
      <w:pPr>
        <w:spacing w:line="360" w:lineRule="auto"/>
        <w:jc w:val="both"/>
        <w:rPr>
          <w:sz w:val="22"/>
          <w:szCs w:val="22"/>
        </w:rPr>
      </w:pPr>
      <w:r w:rsidRPr="00645350">
        <w:rPr>
          <w:sz w:val="22"/>
          <w:szCs w:val="22"/>
        </w:rPr>
        <w:t xml:space="preserve">1. Reglamentar las funciones y la eficiente prestación de los servicios a cargo del municipio. </w:t>
      </w:r>
    </w:p>
    <w:p w:rsidR="008B55AD" w:rsidRPr="00645350" w:rsidRDefault="00F72417" w:rsidP="00645350">
      <w:pPr>
        <w:spacing w:line="360" w:lineRule="auto"/>
        <w:jc w:val="both"/>
        <w:rPr>
          <w:sz w:val="22"/>
          <w:szCs w:val="22"/>
        </w:rPr>
      </w:pPr>
      <w:r w:rsidRPr="00645350">
        <w:rPr>
          <w:sz w:val="22"/>
          <w:szCs w:val="22"/>
        </w:rPr>
        <w:t xml:space="preserve">2. Adoptar los correspondientes planes y programas de desarrollo económico y social y de obras públicas. </w:t>
      </w:r>
    </w:p>
    <w:p w:rsidR="008B55AD" w:rsidRPr="00645350" w:rsidRDefault="00F72417" w:rsidP="00645350">
      <w:pPr>
        <w:spacing w:line="360" w:lineRule="auto"/>
        <w:jc w:val="both"/>
        <w:rPr>
          <w:sz w:val="22"/>
          <w:szCs w:val="22"/>
        </w:rPr>
      </w:pPr>
      <w:r w:rsidRPr="00645350">
        <w:rPr>
          <w:sz w:val="22"/>
          <w:szCs w:val="22"/>
        </w:rPr>
        <w:t xml:space="preserve">(…) </w:t>
      </w:r>
    </w:p>
    <w:p w:rsidR="008B55AD" w:rsidRPr="00645350" w:rsidRDefault="00F72417" w:rsidP="00645350">
      <w:pPr>
        <w:spacing w:line="360" w:lineRule="auto"/>
        <w:jc w:val="both"/>
        <w:rPr>
          <w:sz w:val="22"/>
          <w:szCs w:val="22"/>
        </w:rPr>
      </w:pPr>
      <w:r w:rsidRPr="00645350">
        <w:rPr>
          <w:sz w:val="22"/>
          <w:szCs w:val="22"/>
        </w:rPr>
        <w:t>10. Las dem</w:t>
      </w:r>
      <w:r w:rsidRPr="00645350">
        <w:rPr>
          <w:sz w:val="22"/>
          <w:szCs w:val="22"/>
        </w:rPr>
        <w:t xml:space="preserve">ás que la Constitución y la ley le asignen. </w:t>
      </w:r>
    </w:p>
    <w:p w:rsidR="008B55AD" w:rsidRPr="00645350" w:rsidRDefault="008B55AD" w:rsidP="00645350">
      <w:pPr>
        <w:spacing w:line="360" w:lineRule="auto"/>
        <w:jc w:val="both"/>
        <w:rPr>
          <w:b/>
          <w:sz w:val="22"/>
          <w:szCs w:val="22"/>
        </w:rPr>
      </w:pPr>
    </w:p>
    <w:p w:rsidR="008B55AD" w:rsidRDefault="008B55AD" w:rsidP="00645350">
      <w:pPr>
        <w:spacing w:line="360" w:lineRule="auto"/>
        <w:jc w:val="both"/>
        <w:rPr>
          <w:sz w:val="22"/>
          <w:szCs w:val="22"/>
        </w:rPr>
      </w:pPr>
    </w:p>
    <w:p w:rsidR="008B55AD" w:rsidRPr="00202F12" w:rsidRDefault="00F72417" w:rsidP="00645350">
      <w:pPr>
        <w:pStyle w:val="Prrafodelista"/>
        <w:numPr>
          <w:ilvl w:val="0"/>
          <w:numId w:val="21"/>
        </w:numPr>
        <w:spacing w:line="360" w:lineRule="auto"/>
        <w:jc w:val="both"/>
        <w:rPr>
          <w:b/>
          <w:sz w:val="22"/>
          <w:szCs w:val="22"/>
          <w:u w:val="single"/>
        </w:rPr>
      </w:pPr>
      <w:r w:rsidRPr="00202F12">
        <w:rPr>
          <w:b/>
          <w:sz w:val="22"/>
          <w:szCs w:val="22"/>
          <w:u w:val="single"/>
        </w:rPr>
        <w:t>DECRETO LEY 1421 de 1993 “Estatuto Orgánico de Bogotá”</w:t>
      </w:r>
    </w:p>
    <w:p w:rsidR="008B55AD" w:rsidRDefault="008B55AD" w:rsidP="00645350">
      <w:pPr>
        <w:spacing w:line="360" w:lineRule="auto"/>
        <w:jc w:val="both"/>
        <w:rPr>
          <w:b/>
          <w:sz w:val="22"/>
          <w:szCs w:val="22"/>
        </w:rPr>
      </w:pPr>
    </w:p>
    <w:p w:rsidR="008B55AD" w:rsidRDefault="00F72417" w:rsidP="00645350">
      <w:pPr>
        <w:spacing w:line="360" w:lineRule="auto"/>
        <w:jc w:val="both"/>
        <w:rPr>
          <w:sz w:val="22"/>
          <w:szCs w:val="22"/>
        </w:rPr>
      </w:pPr>
      <w:r>
        <w:rPr>
          <w:b/>
          <w:sz w:val="22"/>
          <w:szCs w:val="22"/>
        </w:rPr>
        <w:t xml:space="preserve">Artículo 12. </w:t>
      </w:r>
      <w:r>
        <w:rPr>
          <w:sz w:val="22"/>
          <w:szCs w:val="22"/>
        </w:rPr>
        <w:t>Atribuciones. Corresponde al Concejo Distrital, de conformidad con la Constitución y la ley: (...)</w:t>
      </w:r>
    </w:p>
    <w:p w:rsidR="008B55AD" w:rsidRDefault="008B55AD" w:rsidP="00645350">
      <w:pPr>
        <w:spacing w:line="360" w:lineRule="auto"/>
        <w:jc w:val="both"/>
        <w:rPr>
          <w:sz w:val="22"/>
          <w:szCs w:val="22"/>
        </w:rPr>
      </w:pPr>
    </w:p>
    <w:p w:rsidR="008B55AD" w:rsidRDefault="00F72417" w:rsidP="00645350">
      <w:pPr>
        <w:numPr>
          <w:ilvl w:val="0"/>
          <w:numId w:val="5"/>
        </w:numPr>
        <w:spacing w:line="360" w:lineRule="auto"/>
        <w:jc w:val="both"/>
        <w:rPr>
          <w:sz w:val="22"/>
          <w:szCs w:val="22"/>
        </w:rPr>
      </w:pPr>
      <w:r>
        <w:rPr>
          <w:sz w:val="22"/>
          <w:szCs w:val="22"/>
        </w:rPr>
        <w:t>Dictar las normas necesarias para garantizar el adecuado cumplimiento de las funciones y la eficiente prestación de los servicios a cargo del Distrito.</w:t>
      </w:r>
    </w:p>
    <w:p w:rsidR="008B55AD" w:rsidRDefault="008B55AD" w:rsidP="00645350">
      <w:pPr>
        <w:spacing w:line="360" w:lineRule="auto"/>
        <w:ind w:left="720"/>
        <w:jc w:val="both"/>
        <w:rPr>
          <w:sz w:val="22"/>
          <w:szCs w:val="22"/>
        </w:rPr>
      </w:pPr>
    </w:p>
    <w:p w:rsidR="008B55AD" w:rsidRDefault="00F72417" w:rsidP="00645350">
      <w:pPr>
        <w:spacing w:line="360" w:lineRule="auto"/>
        <w:jc w:val="both"/>
        <w:rPr>
          <w:sz w:val="22"/>
          <w:szCs w:val="22"/>
        </w:rPr>
      </w:pPr>
      <w:r>
        <w:rPr>
          <w:b/>
          <w:sz w:val="22"/>
          <w:szCs w:val="22"/>
        </w:rPr>
        <w:t>Artículo 8</w:t>
      </w:r>
      <w:r>
        <w:rPr>
          <w:sz w:val="22"/>
          <w:szCs w:val="22"/>
        </w:rPr>
        <w:t>. Funciones generales. El Concejo es la suprema autoridad del Distrito Capital. En materia ad</w:t>
      </w:r>
      <w:r>
        <w:rPr>
          <w:sz w:val="22"/>
          <w:szCs w:val="22"/>
        </w:rPr>
        <w:t>ministrativa sus atribuciones son de carácter normativo. También le corresponde vigilar y controlar la gestión que cumplan las autoridades distritales.</w:t>
      </w:r>
    </w:p>
    <w:p w:rsidR="00645350" w:rsidRDefault="00645350" w:rsidP="00645350">
      <w:pPr>
        <w:spacing w:line="360" w:lineRule="auto"/>
        <w:jc w:val="both"/>
        <w:rPr>
          <w:sz w:val="22"/>
          <w:szCs w:val="22"/>
        </w:rPr>
      </w:pPr>
    </w:p>
    <w:p w:rsidR="00645350" w:rsidRDefault="00645350" w:rsidP="00645350">
      <w:pPr>
        <w:spacing w:line="360" w:lineRule="auto"/>
        <w:jc w:val="both"/>
        <w:rPr>
          <w:sz w:val="22"/>
          <w:szCs w:val="22"/>
        </w:rPr>
      </w:pPr>
    </w:p>
    <w:p w:rsidR="00645350" w:rsidRDefault="00645350" w:rsidP="00645350">
      <w:pPr>
        <w:spacing w:line="360" w:lineRule="auto"/>
        <w:jc w:val="both"/>
        <w:rPr>
          <w:sz w:val="22"/>
          <w:szCs w:val="22"/>
        </w:rPr>
      </w:pPr>
    </w:p>
    <w:p w:rsidR="008B55AD" w:rsidRDefault="008B55AD">
      <w:pPr>
        <w:jc w:val="both"/>
        <w:rPr>
          <w:sz w:val="22"/>
          <w:szCs w:val="22"/>
        </w:rPr>
      </w:pPr>
    </w:p>
    <w:p w:rsidR="008B55AD" w:rsidRDefault="008B55AD">
      <w:pPr>
        <w:jc w:val="both"/>
        <w:rPr>
          <w:sz w:val="22"/>
          <w:szCs w:val="22"/>
        </w:rPr>
      </w:pPr>
    </w:p>
    <w:p w:rsidR="008B55AD" w:rsidRPr="00645350" w:rsidRDefault="00F72417">
      <w:pPr>
        <w:numPr>
          <w:ilvl w:val="0"/>
          <w:numId w:val="4"/>
        </w:numPr>
        <w:jc w:val="both"/>
        <w:rPr>
          <w:sz w:val="22"/>
          <w:szCs w:val="22"/>
          <w:u w:val="single"/>
        </w:rPr>
      </w:pPr>
      <w:r>
        <w:rPr>
          <w:b/>
          <w:sz w:val="22"/>
          <w:szCs w:val="22"/>
          <w:u w:val="single"/>
        </w:rPr>
        <w:t>CONSIDERACIONES DE LOS PONENTES</w:t>
      </w:r>
    </w:p>
    <w:p w:rsidR="00645350" w:rsidRDefault="00645350" w:rsidP="00645350">
      <w:pPr>
        <w:ind w:left="720"/>
        <w:jc w:val="both"/>
        <w:rPr>
          <w:sz w:val="22"/>
          <w:szCs w:val="22"/>
          <w:u w:val="single"/>
        </w:rPr>
      </w:pPr>
    </w:p>
    <w:p w:rsidR="00375838" w:rsidRDefault="00375838" w:rsidP="00375838">
      <w:pPr>
        <w:spacing w:before="240" w:after="240" w:line="360" w:lineRule="auto"/>
        <w:jc w:val="both"/>
        <w:rPr>
          <w:sz w:val="22"/>
          <w:szCs w:val="22"/>
        </w:rPr>
      </w:pPr>
      <w:r>
        <w:rPr>
          <w:sz w:val="22"/>
          <w:szCs w:val="22"/>
        </w:rPr>
        <w:t>El Proyecto de Acu</w:t>
      </w:r>
      <w:r w:rsidR="00B22B23">
        <w:rPr>
          <w:sz w:val="22"/>
          <w:szCs w:val="22"/>
        </w:rPr>
        <w:t>e</w:t>
      </w:r>
      <w:r>
        <w:rPr>
          <w:sz w:val="22"/>
          <w:szCs w:val="22"/>
        </w:rPr>
        <w:t xml:space="preserve">rdo No. 858 de 2025, tiene como principal fin reconocer la caminata de la Solidaridad, organizada por la Fundación Solidaridad por Colombia, como un evento de interés cultural, social y turístico en el Distrito Capital. Con la aprobación de este Proyecto de Acuerdo se garantiza su continuidad ya que la caminata será parte de la agenda de la ciudad y esto le permitirá aumentar su promoción y difusión como evento representativo de la ciudad. </w:t>
      </w:r>
    </w:p>
    <w:p w:rsidR="00B22B23" w:rsidRDefault="00B22B23" w:rsidP="00375838">
      <w:pPr>
        <w:spacing w:before="240" w:after="240" w:line="360" w:lineRule="auto"/>
        <w:jc w:val="both"/>
        <w:rPr>
          <w:sz w:val="22"/>
          <w:szCs w:val="22"/>
        </w:rPr>
      </w:pPr>
      <w:r>
        <w:rPr>
          <w:sz w:val="22"/>
          <w:szCs w:val="22"/>
        </w:rPr>
        <w:t xml:space="preserve">Destacar la tradición y la capacidad de la caminata de la solidaridad por Colombia para </w:t>
      </w:r>
      <w:r w:rsidRPr="00645350">
        <w:rPr>
          <w:sz w:val="22"/>
          <w:szCs w:val="22"/>
        </w:rPr>
        <w:t>impactar</w:t>
      </w:r>
      <w:r>
        <w:rPr>
          <w:sz w:val="22"/>
          <w:szCs w:val="22"/>
        </w:rPr>
        <w:t xml:space="preserve"> positivamente la vida de los Bogotanos, permitirá que se continúe</w:t>
      </w:r>
      <w:r w:rsidR="00645350">
        <w:rPr>
          <w:sz w:val="22"/>
          <w:szCs w:val="22"/>
        </w:rPr>
        <w:t xml:space="preserve"> generando un efecto positivo en</w:t>
      </w:r>
      <w:r>
        <w:rPr>
          <w:sz w:val="22"/>
          <w:szCs w:val="22"/>
        </w:rPr>
        <w:t xml:space="preserve"> la vida de los Bogotanos.  Solo con los recursos obtenidos en la última jornada se lograron apoyar más de 6.000 personas en situación de vulnerabilidad. </w:t>
      </w:r>
    </w:p>
    <w:p w:rsidR="00B22B23" w:rsidRDefault="00B22B23" w:rsidP="00375838">
      <w:pPr>
        <w:spacing w:before="240" w:after="240" w:line="360" w:lineRule="auto"/>
        <w:jc w:val="both"/>
        <w:rPr>
          <w:sz w:val="22"/>
          <w:szCs w:val="22"/>
        </w:rPr>
      </w:pPr>
      <w:r>
        <w:rPr>
          <w:sz w:val="22"/>
          <w:szCs w:val="22"/>
        </w:rPr>
        <w:t>La caminata es una herramienta efectiva de transformación social, que además fortalece turísticamente</w:t>
      </w:r>
      <w:r w:rsidR="00395C86">
        <w:rPr>
          <w:sz w:val="22"/>
          <w:szCs w:val="22"/>
        </w:rPr>
        <w:t xml:space="preserve"> a la ciudad, ya que su pasada edición contó con la participación de más de 20.000 asistentes, lo que además se enmarca en las metas del Plan De Desarrollo Distrital y la estrategia de promoción y consolidación de grandes eventos.</w:t>
      </w:r>
    </w:p>
    <w:p w:rsidR="00395C86" w:rsidRDefault="00395C86" w:rsidP="00375838">
      <w:pPr>
        <w:spacing w:before="240" w:after="240" w:line="360" w:lineRule="auto"/>
        <w:jc w:val="both"/>
        <w:rPr>
          <w:sz w:val="22"/>
          <w:szCs w:val="22"/>
        </w:rPr>
      </w:pPr>
      <w:r>
        <w:rPr>
          <w:sz w:val="22"/>
          <w:szCs w:val="22"/>
        </w:rPr>
        <w:t xml:space="preserve">El desarrollo de la caminata dinamiza la </w:t>
      </w:r>
      <w:r w:rsidR="00FD2D5F">
        <w:rPr>
          <w:sz w:val="22"/>
          <w:szCs w:val="22"/>
        </w:rPr>
        <w:t>economía</w:t>
      </w:r>
      <w:r>
        <w:rPr>
          <w:sz w:val="22"/>
          <w:szCs w:val="22"/>
        </w:rPr>
        <w:t xml:space="preserve"> local, </w:t>
      </w:r>
      <w:r w:rsidR="00FD2D5F">
        <w:rPr>
          <w:sz w:val="22"/>
          <w:szCs w:val="22"/>
        </w:rPr>
        <w:t>ya que,</w:t>
      </w:r>
      <w:r>
        <w:rPr>
          <w:sz w:val="22"/>
          <w:szCs w:val="22"/>
        </w:rPr>
        <w:t xml:space="preserve"> al tener una fecha consol</w:t>
      </w:r>
      <w:r w:rsidR="00FD2D5F">
        <w:rPr>
          <w:sz w:val="22"/>
          <w:szCs w:val="22"/>
        </w:rPr>
        <w:t>idada de ejecución y desarrollo, se activa y se potencializa</w:t>
      </w:r>
      <w:r w:rsidR="00645350">
        <w:rPr>
          <w:sz w:val="22"/>
          <w:szCs w:val="22"/>
        </w:rPr>
        <w:t xml:space="preserve"> el consumo local, lo que fomenta el consumo local y contribuye a tejidos económicos más fuertes y estables. </w:t>
      </w:r>
    </w:p>
    <w:p w:rsidR="00645350" w:rsidRDefault="00645350" w:rsidP="00375838">
      <w:pPr>
        <w:spacing w:before="240" w:after="240" w:line="360" w:lineRule="auto"/>
        <w:jc w:val="both"/>
        <w:rPr>
          <w:sz w:val="22"/>
          <w:szCs w:val="22"/>
        </w:rPr>
      </w:pPr>
      <w:r>
        <w:rPr>
          <w:sz w:val="22"/>
          <w:szCs w:val="22"/>
        </w:rPr>
        <w:t xml:space="preserve">La caminata también permite que se resalte la celebración del Día Nacional </w:t>
      </w:r>
      <w:r w:rsidR="0071613A">
        <w:rPr>
          <w:sz w:val="22"/>
          <w:szCs w:val="22"/>
        </w:rPr>
        <w:t xml:space="preserve">de la Solidaridad, impulsando la transformación social y la equidad al fortalecer el compromiso ciudadano de respaldar y proteger a todos aquellos seres humanos en situación de vulnerabilidad que requieren apoyo para superar las brechas de desigualdad. </w:t>
      </w:r>
    </w:p>
    <w:p w:rsidR="00645350" w:rsidRDefault="00645350" w:rsidP="00375838">
      <w:pPr>
        <w:spacing w:before="240" w:after="240" w:line="360" w:lineRule="auto"/>
        <w:jc w:val="both"/>
        <w:rPr>
          <w:sz w:val="22"/>
          <w:szCs w:val="22"/>
        </w:rPr>
      </w:pPr>
    </w:p>
    <w:p w:rsidR="00375838" w:rsidRDefault="00375838">
      <w:pPr>
        <w:spacing w:before="240" w:after="240"/>
        <w:jc w:val="both"/>
        <w:rPr>
          <w:sz w:val="22"/>
          <w:szCs w:val="22"/>
        </w:rPr>
      </w:pPr>
    </w:p>
    <w:p w:rsidR="008B55AD" w:rsidRDefault="008B55AD" w:rsidP="00B22B23">
      <w:pPr>
        <w:spacing w:before="240" w:after="240"/>
        <w:jc w:val="both"/>
        <w:rPr>
          <w:sz w:val="22"/>
          <w:szCs w:val="22"/>
          <w:highlight w:val="yellow"/>
        </w:rPr>
      </w:pPr>
    </w:p>
    <w:p w:rsidR="008B55AD" w:rsidRPr="006A1B5C" w:rsidRDefault="00F72417" w:rsidP="006A1B5C">
      <w:pPr>
        <w:pStyle w:val="Prrafodelista"/>
        <w:numPr>
          <w:ilvl w:val="0"/>
          <w:numId w:val="4"/>
        </w:numPr>
        <w:jc w:val="both"/>
        <w:rPr>
          <w:sz w:val="22"/>
          <w:szCs w:val="22"/>
          <w:u w:val="single"/>
        </w:rPr>
      </w:pPr>
      <w:r w:rsidRPr="006A1B5C">
        <w:rPr>
          <w:b/>
          <w:sz w:val="22"/>
          <w:szCs w:val="22"/>
          <w:u w:val="single"/>
        </w:rPr>
        <w:t>IMPACTO FISCAL</w:t>
      </w:r>
    </w:p>
    <w:p w:rsidR="008B55AD" w:rsidRDefault="008B55AD">
      <w:pPr>
        <w:ind w:left="720"/>
        <w:jc w:val="both"/>
        <w:rPr>
          <w:b/>
          <w:sz w:val="22"/>
          <w:szCs w:val="22"/>
          <w:u w:val="single"/>
        </w:rPr>
      </w:pPr>
    </w:p>
    <w:p w:rsidR="0071613A" w:rsidRDefault="0071613A">
      <w:pPr>
        <w:ind w:left="720"/>
        <w:jc w:val="both"/>
        <w:rPr>
          <w:b/>
          <w:sz w:val="22"/>
          <w:szCs w:val="22"/>
          <w:u w:val="single"/>
        </w:rPr>
      </w:pPr>
    </w:p>
    <w:p w:rsidR="008B55AD" w:rsidRDefault="00F72417" w:rsidP="006A1B5C">
      <w:pPr>
        <w:spacing w:line="360" w:lineRule="auto"/>
        <w:jc w:val="both"/>
        <w:rPr>
          <w:sz w:val="22"/>
          <w:szCs w:val="22"/>
        </w:rPr>
      </w:pPr>
      <w:bookmarkStart w:id="2" w:name="_heading=h.wx90yx4oikps" w:colFirst="0" w:colLast="0"/>
      <w:bookmarkEnd w:id="2"/>
      <w:r>
        <w:rPr>
          <w:sz w:val="22"/>
          <w:szCs w:val="22"/>
        </w:rPr>
        <w:t xml:space="preserve">Teniendo en cuenta los mandatos de la ley 819 de 2003, en cuanto a la declaración de impacto fiscal de las normas estipulado en su artículo 7º </w:t>
      </w:r>
      <w:r>
        <w:rPr>
          <w:i/>
          <w:sz w:val="22"/>
          <w:szCs w:val="22"/>
        </w:rPr>
        <w:t>“En todo momento, el impacto fiscal de cualquier proyecto de ley, ordenanza o acuerdo, que ordene gasto o que oto</w:t>
      </w:r>
      <w:r>
        <w:rPr>
          <w:i/>
          <w:sz w:val="22"/>
          <w:szCs w:val="22"/>
        </w:rPr>
        <w:t>rgue beneficios tributarios, deberá hacerse explícito y deberá ser compatible con el Marco Fiscal de Mediano Plazo</w:t>
      </w:r>
      <w:r>
        <w:rPr>
          <w:sz w:val="22"/>
          <w:szCs w:val="22"/>
        </w:rPr>
        <w:t xml:space="preserve">”, </w:t>
      </w:r>
      <w:r>
        <w:rPr>
          <w:sz w:val="22"/>
          <w:szCs w:val="22"/>
        </w:rPr>
        <w:t>e</w:t>
      </w:r>
      <w:r>
        <w:rPr>
          <w:sz w:val="22"/>
          <w:szCs w:val="22"/>
        </w:rPr>
        <w:t xml:space="preserve">s importante señalar que este proyecto de acuerdo no genera costos ni implica erogaciones fiscales </w:t>
      </w:r>
      <w:r w:rsidR="00645350">
        <w:rPr>
          <w:sz w:val="22"/>
          <w:szCs w:val="22"/>
        </w:rPr>
        <w:t xml:space="preserve">adicionales </w:t>
      </w:r>
      <w:r>
        <w:rPr>
          <w:sz w:val="22"/>
          <w:szCs w:val="22"/>
        </w:rPr>
        <w:t>para su implementación.</w:t>
      </w:r>
    </w:p>
    <w:p w:rsidR="008B55AD" w:rsidRDefault="008B55AD">
      <w:pPr>
        <w:jc w:val="both"/>
        <w:rPr>
          <w:sz w:val="22"/>
          <w:szCs w:val="22"/>
        </w:rPr>
      </w:pPr>
    </w:p>
    <w:p w:rsidR="008B55AD" w:rsidRDefault="008B55AD">
      <w:pPr>
        <w:jc w:val="both"/>
        <w:rPr>
          <w:sz w:val="22"/>
          <w:szCs w:val="22"/>
          <w:highlight w:val="white"/>
        </w:rPr>
      </w:pPr>
    </w:p>
    <w:p w:rsidR="008B55AD" w:rsidRDefault="00F72417">
      <w:pPr>
        <w:numPr>
          <w:ilvl w:val="0"/>
          <w:numId w:val="4"/>
        </w:numPr>
        <w:jc w:val="both"/>
        <w:rPr>
          <w:sz w:val="22"/>
          <w:szCs w:val="22"/>
          <w:highlight w:val="white"/>
          <w:u w:val="single"/>
        </w:rPr>
      </w:pPr>
      <w:r>
        <w:rPr>
          <w:b/>
          <w:sz w:val="22"/>
          <w:szCs w:val="22"/>
          <w:highlight w:val="white"/>
          <w:u w:val="single"/>
        </w:rPr>
        <w:t>CONCLUSIONES</w:t>
      </w:r>
    </w:p>
    <w:p w:rsidR="008B55AD" w:rsidRDefault="008B55AD">
      <w:pPr>
        <w:jc w:val="both"/>
        <w:rPr>
          <w:b/>
          <w:sz w:val="22"/>
          <w:szCs w:val="22"/>
          <w:highlight w:val="white"/>
          <w:u w:val="single"/>
        </w:rPr>
      </w:pPr>
    </w:p>
    <w:p w:rsidR="008B55AD" w:rsidRDefault="00F72417" w:rsidP="006A1B5C">
      <w:pPr>
        <w:spacing w:line="360" w:lineRule="auto"/>
        <w:jc w:val="both"/>
        <w:rPr>
          <w:i/>
          <w:sz w:val="22"/>
          <w:szCs w:val="22"/>
        </w:rPr>
      </w:pPr>
      <w:r>
        <w:rPr>
          <w:sz w:val="22"/>
          <w:szCs w:val="22"/>
          <w:highlight w:val="white"/>
        </w:rPr>
        <w:t xml:space="preserve">Teniendo en cuenta las consideraciones planteadas y los argumentos sostenidos, </w:t>
      </w:r>
      <w:r>
        <w:rPr>
          <w:sz w:val="22"/>
          <w:szCs w:val="22"/>
        </w:rPr>
        <w:t xml:space="preserve">me permito rendir </w:t>
      </w:r>
      <w:r>
        <w:rPr>
          <w:b/>
          <w:sz w:val="22"/>
          <w:szCs w:val="22"/>
        </w:rPr>
        <w:t>PONENCIA POSI</w:t>
      </w:r>
      <w:r w:rsidR="006A1B5C">
        <w:rPr>
          <w:b/>
          <w:sz w:val="22"/>
          <w:szCs w:val="22"/>
        </w:rPr>
        <w:t xml:space="preserve">TIVA CONJUNTA </w:t>
      </w:r>
      <w:r>
        <w:rPr>
          <w:sz w:val="22"/>
          <w:szCs w:val="22"/>
        </w:rPr>
        <w:t>al</w:t>
      </w:r>
      <w:r w:rsidR="006A1B5C">
        <w:rPr>
          <w:sz w:val="22"/>
          <w:szCs w:val="22"/>
        </w:rPr>
        <w:t xml:space="preserve"> Proyecto de Acuerdo</w:t>
      </w:r>
      <w:r w:rsidR="006A1B5C" w:rsidRPr="00202F12">
        <w:rPr>
          <w:sz w:val="22"/>
          <w:szCs w:val="22"/>
        </w:rPr>
        <w:t xml:space="preserve"> No.958 de 2025 </w:t>
      </w:r>
      <w:r w:rsidR="006A1B5C" w:rsidRPr="006A1B5C">
        <w:rPr>
          <w:i/>
          <w:sz w:val="22"/>
          <w:szCs w:val="22"/>
        </w:rPr>
        <w:t>“Por medio del cual se reconoce la Caminata de la Solidaridad como un evento de interés cultural, social y turístico para Bogotá, y se establecen lineamientos de apoyo para su fortalecimiento”</w:t>
      </w:r>
    </w:p>
    <w:p w:rsidR="008B55AD" w:rsidRDefault="008B55AD">
      <w:pPr>
        <w:jc w:val="both"/>
        <w:rPr>
          <w:i/>
          <w:sz w:val="22"/>
          <w:szCs w:val="22"/>
        </w:rPr>
      </w:pPr>
    </w:p>
    <w:p w:rsidR="008B55AD" w:rsidRDefault="008B55AD">
      <w:pPr>
        <w:jc w:val="both"/>
        <w:rPr>
          <w:i/>
          <w:sz w:val="22"/>
          <w:szCs w:val="22"/>
        </w:rPr>
      </w:pPr>
    </w:p>
    <w:p w:rsidR="008B55AD" w:rsidRDefault="008B55AD">
      <w:pPr>
        <w:jc w:val="both"/>
        <w:rPr>
          <w:i/>
          <w:sz w:val="22"/>
          <w:szCs w:val="22"/>
        </w:rPr>
      </w:pPr>
    </w:p>
    <w:p w:rsidR="008B55AD" w:rsidRDefault="008B55AD">
      <w:pPr>
        <w:jc w:val="both"/>
        <w:rPr>
          <w:sz w:val="22"/>
          <w:szCs w:val="22"/>
          <w:highlight w:val="white"/>
        </w:rPr>
      </w:pPr>
    </w:p>
    <w:p w:rsidR="008B55AD" w:rsidRDefault="00F72417">
      <w:pPr>
        <w:spacing w:line="276" w:lineRule="auto"/>
        <w:jc w:val="both"/>
        <w:rPr>
          <w:sz w:val="22"/>
          <w:szCs w:val="22"/>
        </w:rPr>
      </w:pPr>
      <w:r>
        <w:rPr>
          <w:sz w:val="22"/>
          <w:szCs w:val="22"/>
        </w:rPr>
        <w:t>Atentamente,</w:t>
      </w:r>
    </w:p>
    <w:p w:rsidR="008B55AD" w:rsidRDefault="008B55AD">
      <w:pPr>
        <w:spacing w:line="276" w:lineRule="auto"/>
        <w:jc w:val="both"/>
        <w:rPr>
          <w:sz w:val="22"/>
          <w:szCs w:val="22"/>
        </w:rPr>
      </w:pPr>
    </w:p>
    <w:p w:rsidR="008B55AD" w:rsidRDefault="008B55AD">
      <w:pPr>
        <w:spacing w:line="276" w:lineRule="auto"/>
        <w:jc w:val="both"/>
        <w:rPr>
          <w:sz w:val="22"/>
          <w:szCs w:val="22"/>
        </w:rPr>
      </w:pPr>
    </w:p>
    <w:p w:rsidR="008B55AD" w:rsidRDefault="008B55AD">
      <w:pPr>
        <w:spacing w:line="276" w:lineRule="auto"/>
        <w:jc w:val="both"/>
        <w:rPr>
          <w:sz w:val="22"/>
          <w:szCs w:val="22"/>
        </w:rPr>
      </w:pPr>
    </w:p>
    <w:p w:rsidR="006A1B5C" w:rsidRPr="00202F12" w:rsidRDefault="006A1B5C" w:rsidP="006A1B5C">
      <w:pPr>
        <w:pStyle w:val="Sinespaciado"/>
        <w:rPr>
          <w:rFonts w:ascii="Arial" w:hAnsi="Arial" w:cs="Arial"/>
          <w:b/>
        </w:rPr>
      </w:pPr>
      <w:r w:rsidRPr="00202F12">
        <w:rPr>
          <w:rFonts w:ascii="Arial" w:hAnsi="Arial" w:cs="Arial"/>
          <w:b/>
        </w:rPr>
        <w:t xml:space="preserve">FERNANDO LÓPEZ GUTIERREZ         </w:t>
      </w:r>
      <w:r w:rsidRPr="00202F12">
        <w:rPr>
          <w:rFonts w:ascii="Arial" w:hAnsi="Arial" w:cs="Arial"/>
          <w:b/>
        </w:rPr>
        <w:tab/>
        <w:t>ARMANDO GUTIERREZ GONZALES</w:t>
      </w:r>
    </w:p>
    <w:p w:rsidR="006A1B5C" w:rsidRPr="00202F12" w:rsidRDefault="006A1B5C" w:rsidP="006A1B5C">
      <w:pPr>
        <w:pStyle w:val="Sinespaciado"/>
        <w:rPr>
          <w:rFonts w:ascii="Arial" w:hAnsi="Arial" w:cs="Arial"/>
        </w:rPr>
      </w:pPr>
      <w:r w:rsidRPr="00202F12">
        <w:rPr>
          <w:rFonts w:ascii="Arial" w:hAnsi="Arial" w:cs="Arial"/>
        </w:rPr>
        <w:t>Concejal de Bogotá D. C.</w:t>
      </w:r>
      <w:r w:rsidRPr="00202F12">
        <w:rPr>
          <w:rFonts w:ascii="Arial" w:hAnsi="Arial" w:cs="Arial"/>
        </w:rPr>
        <w:tab/>
      </w:r>
      <w:r w:rsidRPr="00202F12">
        <w:rPr>
          <w:rFonts w:ascii="Arial" w:hAnsi="Arial" w:cs="Arial"/>
        </w:rPr>
        <w:tab/>
      </w:r>
      <w:r w:rsidRPr="00202F12">
        <w:rPr>
          <w:rFonts w:ascii="Arial" w:hAnsi="Arial" w:cs="Arial"/>
        </w:rPr>
        <w:tab/>
        <w:t>Concejal de Bogotá D.C</w:t>
      </w:r>
    </w:p>
    <w:p w:rsidR="008B55AD" w:rsidRDefault="008B55AD" w:rsidP="006A1B5C">
      <w:pPr>
        <w:rPr>
          <w:b/>
          <w:i/>
          <w:sz w:val="22"/>
          <w:szCs w:val="22"/>
        </w:rPr>
      </w:pPr>
    </w:p>
    <w:p w:rsidR="006A1B5C" w:rsidRDefault="006A1B5C" w:rsidP="006A1B5C">
      <w:pPr>
        <w:rPr>
          <w:b/>
          <w:i/>
          <w:sz w:val="22"/>
          <w:szCs w:val="22"/>
        </w:rPr>
      </w:pPr>
    </w:p>
    <w:p w:rsidR="006A1B5C" w:rsidRDefault="006A1B5C" w:rsidP="006A1B5C">
      <w:pPr>
        <w:rPr>
          <w:b/>
          <w:i/>
          <w:sz w:val="22"/>
          <w:szCs w:val="22"/>
        </w:rPr>
      </w:pPr>
    </w:p>
    <w:p w:rsidR="006A1B5C" w:rsidRDefault="006A1B5C" w:rsidP="006A1B5C">
      <w:pPr>
        <w:rPr>
          <w:b/>
          <w:sz w:val="22"/>
          <w:szCs w:val="22"/>
        </w:rPr>
      </w:pPr>
    </w:p>
    <w:p w:rsidR="006A1B5C" w:rsidRDefault="006A1B5C" w:rsidP="006A1B5C">
      <w:pPr>
        <w:rPr>
          <w:b/>
          <w:sz w:val="22"/>
          <w:szCs w:val="22"/>
        </w:rPr>
      </w:pPr>
    </w:p>
    <w:p w:rsidR="006A1B5C" w:rsidRDefault="006A1B5C" w:rsidP="006A1B5C">
      <w:pPr>
        <w:rPr>
          <w:b/>
          <w:sz w:val="22"/>
          <w:szCs w:val="22"/>
        </w:rPr>
      </w:pPr>
    </w:p>
    <w:p w:rsidR="006A1B5C" w:rsidRDefault="006A1B5C" w:rsidP="006A1B5C">
      <w:pPr>
        <w:rPr>
          <w:b/>
          <w:sz w:val="22"/>
          <w:szCs w:val="22"/>
        </w:rPr>
      </w:pPr>
    </w:p>
    <w:p w:rsidR="006A1B5C" w:rsidRDefault="006A1B5C" w:rsidP="006A1B5C">
      <w:pPr>
        <w:tabs>
          <w:tab w:val="left" w:pos="1560"/>
        </w:tabs>
        <w:spacing w:line="360" w:lineRule="auto"/>
        <w:rPr>
          <w:b/>
        </w:rPr>
      </w:pPr>
    </w:p>
    <w:p w:rsidR="006A1B5C" w:rsidRDefault="006A1B5C" w:rsidP="006A1B5C">
      <w:pPr>
        <w:tabs>
          <w:tab w:val="left" w:pos="1560"/>
        </w:tabs>
        <w:spacing w:line="360" w:lineRule="auto"/>
        <w:jc w:val="center"/>
        <w:rPr>
          <w:b/>
        </w:rPr>
      </w:pPr>
      <w:r>
        <w:rPr>
          <w:b/>
        </w:rPr>
        <w:t>PROYECTO DE ACUERDO ____ DE 2025</w:t>
      </w:r>
    </w:p>
    <w:p w:rsidR="006A1B5C" w:rsidRDefault="006A1B5C" w:rsidP="006A1B5C">
      <w:pPr>
        <w:jc w:val="both"/>
        <w:rPr>
          <w:b/>
          <w:i/>
        </w:rPr>
      </w:pPr>
    </w:p>
    <w:p w:rsidR="006A1B5C" w:rsidRDefault="006A1B5C" w:rsidP="006A1B5C">
      <w:pPr>
        <w:jc w:val="both"/>
        <w:rPr>
          <w:b/>
          <w:i/>
        </w:rPr>
      </w:pPr>
      <w:r>
        <w:rPr>
          <w:b/>
          <w:i/>
        </w:rPr>
        <w:t>“Por medio del cual se reconoce la Caminata de la Solidaridad como un evento de interés cultural, social y turístico para Bogotá, y se establecen lineamientos de apoyo para su fortalecimiento”</w:t>
      </w:r>
    </w:p>
    <w:p w:rsidR="006A1B5C" w:rsidRDefault="006A1B5C" w:rsidP="006A1B5C">
      <w:pPr>
        <w:jc w:val="both"/>
        <w:rPr>
          <w:b/>
          <w:i/>
        </w:rPr>
      </w:pPr>
    </w:p>
    <w:p w:rsidR="006A1B5C" w:rsidRDefault="006A1B5C" w:rsidP="006A1B5C">
      <w:pPr>
        <w:tabs>
          <w:tab w:val="left" w:pos="1560"/>
        </w:tabs>
        <w:spacing w:after="240" w:line="276" w:lineRule="auto"/>
        <w:jc w:val="both"/>
      </w:pPr>
      <w:r>
        <w:t>El Concejo de Bogotá en uso de sus atribuciones Constitucionales y Legales, especialmente las contenidas en el numeral 1 del artículo 12 del Decreto Ley 1421 de 1993 y en concordancia con el artículo 313 de la Constitución Política de Colombia:</w:t>
      </w:r>
    </w:p>
    <w:p w:rsidR="006A1B5C" w:rsidRDefault="006A1B5C" w:rsidP="006A1B5C">
      <w:pPr>
        <w:tabs>
          <w:tab w:val="left" w:pos="1560"/>
        </w:tabs>
        <w:spacing w:after="240" w:line="360" w:lineRule="auto"/>
        <w:jc w:val="center"/>
      </w:pPr>
      <w:r>
        <w:rPr>
          <w:b/>
        </w:rPr>
        <w:t>ACUERDA:</w:t>
      </w:r>
    </w:p>
    <w:p w:rsidR="006A1B5C" w:rsidRDefault="006A1B5C" w:rsidP="006A1B5C">
      <w:pPr>
        <w:spacing w:line="360" w:lineRule="auto"/>
        <w:jc w:val="both"/>
        <w:rPr>
          <w:b/>
        </w:rPr>
      </w:pPr>
      <w:r>
        <w:rPr>
          <w:b/>
        </w:rPr>
        <w:t xml:space="preserve">ARTÍCULO 1°. Objeto. </w:t>
      </w:r>
      <w:proofErr w:type="spellStart"/>
      <w:r>
        <w:t>Reconozcase</w:t>
      </w:r>
      <w:proofErr w:type="spellEnd"/>
      <w:r>
        <w:t xml:space="preserve"> la Caminata de la Solidaridad, organizada por la Fundación Solidaridad por Colombia, como un evento de interés cultural, social y turístico en el Distrito Capital.</w:t>
      </w:r>
    </w:p>
    <w:p w:rsidR="006A1B5C" w:rsidRDefault="006A1B5C" w:rsidP="006A1B5C">
      <w:pPr>
        <w:spacing w:line="360" w:lineRule="auto"/>
        <w:jc w:val="both"/>
      </w:pPr>
    </w:p>
    <w:p w:rsidR="006A1B5C" w:rsidRDefault="006A1B5C" w:rsidP="006A1B5C">
      <w:pPr>
        <w:spacing w:line="360" w:lineRule="auto"/>
        <w:jc w:val="both"/>
      </w:pPr>
      <w:r>
        <w:rPr>
          <w:b/>
        </w:rPr>
        <w:t>ARTÍCULO 2°. Conmemoración</w:t>
      </w:r>
      <w:r>
        <w:t>. La Caminata de la Solidaridad se realizará de manera anual en el mes de agosto, tradicionalmente el cuarto domingo de agosto, en concordancia con la celebración del Día Nacional de la Solidaridad.</w:t>
      </w:r>
    </w:p>
    <w:p w:rsidR="006A1B5C" w:rsidRDefault="006A1B5C" w:rsidP="006A1B5C">
      <w:pPr>
        <w:spacing w:line="360" w:lineRule="auto"/>
        <w:jc w:val="both"/>
      </w:pPr>
    </w:p>
    <w:p w:rsidR="006A1B5C" w:rsidRDefault="006A1B5C" w:rsidP="006A1B5C">
      <w:pPr>
        <w:spacing w:line="360" w:lineRule="auto"/>
        <w:jc w:val="both"/>
      </w:pPr>
      <w:r>
        <w:rPr>
          <w:b/>
        </w:rPr>
        <w:t>Parágrafo</w:t>
      </w:r>
      <w:r>
        <w:t>. Por razones de programación, conmemoración especial o fuerza mayor, la Fundación Solidaridad por Colombia en articulación con la Administración Distrital podrá definir otra fecha para la realización de la Caminata en una edición determinada.</w:t>
      </w:r>
    </w:p>
    <w:p w:rsidR="006A1B5C" w:rsidRDefault="006A1B5C" w:rsidP="006A1B5C">
      <w:pPr>
        <w:spacing w:line="360" w:lineRule="auto"/>
        <w:jc w:val="both"/>
      </w:pPr>
    </w:p>
    <w:p w:rsidR="006A1B5C" w:rsidRDefault="006A1B5C" w:rsidP="006A1B5C">
      <w:pPr>
        <w:spacing w:line="360" w:lineRule="auto"/>
        <w:jc w:val="both"/>
        <w:rPr>
          <w:b/>
        </w:rPr>
      </w:pPr>
      <w:r>
        <w:rPr>
          <w:b/>
        </w:rPr>
        <w:t xml:space="preserve">ARTÍCULO 3°. Apoyo institucional. </w:t>
      </w:r>
      <w:r>
        <w:t xml:space="preserve">Las entidades distritales competentes (Secretaría de Cultura, Recreación y Deporte; Instituto Distrital de Turismo; Instituto Distrital de Recreación y Deporte – IDRD; Secretaría Distrital de Movilidad; </w:t>
      </w:r>
      <w:r>
        <w:lastRenderedPageBreak/>
        <w:t>Secretaría Distrital de Seguridad, Convivencia y Justicia; Unidad Administrativa Especial de Servicios Públicos – UAESP, entre otras) facilitarán la articulación interinstitucional para garantizar la adecuada realización de la Caminata de la Solidaridad, dentro del marco de sus competencias y de los presupuestos ya asignados.</w:t>
      </w:r>
    </w:p>
    <w:p w:rsidR="006A1B5C" w:rsidRDefault="006A1B5C" w:rsidP="006A1B5C">
      <w:pPr>
        <w:spacing w:line="360" w:lineRule="auto"/>
        <w:jc w:val="both"/>
      </w:pPr>
    </w:p>
    <w:p w:rsidR="006A1B5C" w:rsidRDefault="006A1B5C" w:rsidP="006A1B5C">
      <w:pPr>
        <w:spacing w:line="360" w:lineRule="auto"/>
        <w:jc w:val="both"/>
        <w:rPr>
          <w:b/>
        </w:rPr>
      </w:pPr>
      <w:r>
        <w:rPr>
          <w:b/>
        </w:rPr>
        <w:t xml:space="preserve">ARTÍCULO 4°. Agenda de ciudad. </w:t>
      </w:r>
      <w:r>
        <w:t>La Caminata de la Solidaridad hará parte de la agenda cultural, social y turística de Bogotá, y deberá ser promovida y difundida por las entidades distritales competentes como un evento representativo de la ciudad.</w:t>
      </w:r>
    </w:p>
    <w:p w:rsidR="006A1B5C" w:rsidRDefault="006A1B5C" w:rsidP="006A1B5C">
      <w:pPr>
        <w:spacing w:line="360" w:lineRule="auto"/>
        <w:jc w:val="both"/>
      </w:pPr>
    </w:p>
    <w:p w:rsidR="006A1B5C" w:rsidRDefault="006A1B5C" w:rsidP="006A1B5C">
      <w:pPr>
        <w:spacing w:line="360" w:lineRule="auto"/>
        <w:jc w:val="both"/>
        <w:rPr>
          <w:b/>
        </w:rPr>
      </w:pPr>
      <w:r>
        <w:rPr>
          <w:b/>
        </w:rPr>
        <w:t xml:space="preserve">ARTÍCULO 5°. Vigencia. </w:t>
      </w:r>
      <w:r>
        <w:t>El presente Acuerdo rige a partir de la fecha de su promulgación y deroga todas las disposiciones que le sean contrarias.</w:t>
      </w:r>
    </w:p>
    <w:p w:rsidR="006A1B5C" w:rsidRDefault="006A1B5C" w:rsidP="006A1B5C"/>
    <w:p w:rsidR="006A1B5C" w:rsidRDefault="006A1B5C" w:rsidP="006A1B5C"/>
    <w:p w:rsidR="006A1B5C" w:rsidRDefault="006A1B5C" w:rsidP="006A1B5C"/>
    <w:p w:rsidR="006A1B5C" w:rsidRDefault="006A1B5C" w:rsidP="006A1B5C">
      <w:pPr>
        <w:jc w:val="center"/>
      </w:pPr>
      <w:r>
        <w:t>PUBLÍQUESE Y CÚMPLASE</w:t>
      </w:r>
    </w:p>
    <w:p w:rsidR="006A1B5C" w:rsidRPr="006A1B5C" w:rsidRDefault="006A1B5C" w:rsidP="006A1B5C">
      <w:pPr>
        <w:rPr>
          <w:b/>
          <w:sz w:val="22"/>
          <w:szCs w:val="22"/>
        </w:rPr>
      </w:pPr>
    </w:p>
    <w:p w:rsidR="008B55AD" w:rsidRDefault="008B55AD">
      <w:pPr>
        <w:jc w:val="center"/>
        <w:rPr>
          <w:b/>
          <w:i/>
          <w:sz w:val="22"/>
          <w:szCs w:val="22"/>
        </w:rPr>
      </w:pPr>
    </w:p>
    <w:p w:rsidR="008B55AD" w:rsidRDefault="008B55AD">
      <w:pPr>
        <w:jc w:val="center"/>
        <w:rPr>
          <w:b/>
          <w:i/>
          <w:sz w:val="22"/>
          <w:szCs w:val="22"/>
        </w:rPr>
      </w:pPr>
    </w:p>
    <w:p w:rsidR="008B55AD" w:rsidRDefault="008B55AD">
      <w:pPr>
        <w:rPr>
          <w:b/>
          <w:i/>
          <w:sz w:val="22"/>
          <w:szCs w:val="22"/>
        </w:rPr>
      </w:pPr>
    </w:p>
    <w:p w:rsidR="008B55AD" w:rsidRDefault="008B55AD">
      <w:pPr>
        <w:rPr>
          <w:b/>
          <w:i/>
          <w:sz w:val="22"/>
          <w:szCs w:val="22"/>
        </w:rPr>
      </w:pPr>
    </w:p>
    <w:p w:rsidR="008B55AD" w:rsidRDefault="008B55AD">
      <w:pPr>
        <w:rPr>
          <w:b/>
          <w:i/>
          <w:sz w:val="22"/>
          <w:szCs w:val="22"/>
        </w:rPr>
      </w:pPr>
    </w:p>
    <w:p w:rsidR="008B55AD" w:rsidRDefault="008B55AD">
      <w:pPr>
        <w:jc w:val="center"/>
        <w:rPr>
          <w:b/>
          <w:i/>
          <w:sz w:val="22"/>
          <w:szCs w:val="22"/>
        </w:rPr>
      </w:pPr>
    </w:p>
    <w:p w:rsidR="008B55AD" w:rsidRDefault="008B55AD">
      <w:pPr>
        <w:jc w:val="center"/>
        <w:rPr>
          <w:b/>
          <w:i/>
          <w:sz w:val="22"/>
          <w:szCs w:val="22"/>
        </w:rPr>
      </w:pPr>
    </w:p>
    <w:p w:rsidR="008B55AD" w:rsidRDefault="008B55AD">
      <w:pPr>
        <w:jc w:val="center"/>
        <w:rPr>
          <w:b/>
          <w:i/>
          <w:sz w:val="22"/>
          <w:szCs w:val="22"/>
        </w:rPr>
      </w:pPr>
    </w:p>
    <w:p w:rsidR="008B55AD" w:rsidRDefault="008B55AD">
      <w:pPr>
        <w:rPr>
          <w:b/>
          <w:i/>
          <w:sz w:val="22"/>
          <w:szCs w:val="22"/>
        </w:rPr>
      </w:pPr>
    </w:p>
    <w:p w:rsidR="008B55AD" w:rsidRDefault="008B55AD">
      <w:pPr>
        <w:rPr>
          <w:b/>
          <w:i/>
          <w:sz w:val="22"/>
          <w:szCs w:val="22"/>
        </w:rPr>
      </w:pPr>
    </w:p>
    <w:p w:rsidR="008B55AD" w:rsidRDefault="008B55AD">
      <w:pPr>
        <w:spacing w:after="160" w:line="259" w:lineRule="auto"/>
        <w:jc w:val="both"/>
        <w:rPr>
          <w:sz w:val="22"/>
          <w:szCs w:val="22"/>
        </w:rPr>
      </w:pPr>
    </w:p>
    <w:sectPr w:rsidR="008B55AD">
      <w:headerReference w:type="default" r:id="rId8"/>
      <w:footerReference w:type="even" r:id="rId9"/>
      <w:footerReference w:type="default" r:id="rId10"/>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2417" w:rsidRDefault="00F72417">
      <w:r>
        <w:separator/>
      </w:r>
    </w:p>
  </w:endnote>
  <w:endnote w:type="continuationSeparator" w:id="0">
    <w:p w:rsidR="00F72417" w:rsidRDefault="00F72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5AD" w:rsidRDefault="00F72417">
    <w:pPr>
      <w:pBdr>
        <w:top w:val="nil"/>
        <w:left w:val="nil"/>
        <w:bottom w:val="nil"/>
        <w:right w:val="nil"/>
        <w:between w:val="nil"/>
      </w:pBdr>
      <w:tabs>
        <w:tab w:val="center" w:pos="4252"/>
        <w:tab w:val="right" w:pos="8504"/>
      </w:tabs>
      <w:jc w:val="right"/>
    </w:pPr>
    <w:r>
      <w:fldChar w:fldCharType="begin"/>
    </w:r>
    <w:r>
      <w:instrText>PAGE</w:instrText>
    </w:r>
    <w:r>
      <w:fldChar w:fldCharType="end"/>
    </w:r>
  </w:p>
  <w:p w:rsidR="008B55AD" w:rsidRDefault="008B55AD">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5AD" w:rsidRDefault="008B55AD">
    <w:pPr>
      <w:jc w:val="both"/>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2417" w:rsidRDefault="00F72417">
      <w:r>
        <w:separator/>
      </w:r>
    </w:p>
  </w:footnote>
  <w:footnote w:type="continuationSeparator" w:id="0">
    <w:p w:rsidR="00F72417" w:rsidRDefault="00F72417">
      <w:r>
        <w:continuationSeparator/>
      </w:r>
    </w:p>
  </w:footnote>
  <w:footnote w:id="1">
    <w:p w:rsidR="007870E8" w:rsidRDefault="007870E8" w:rsidP="007870E8">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El Tiempo. </w:t>
      </w:r>
      <w:r>
        <w:rPr>
          <w:i/>
          <w:color w:val="000000"/>
          <w:sz w:val="20"/>
          <w:szCs w:val="20"/>
        </w:rPr>
        <w:t>Fundación Solidaridad por Colombia conmemoró sus 50 años con tres días de eventos y homenaje a Nydia Quintero Turbay</w:t>
      </w:r>
      <w:r>
        <w:rPr>
          <w:color w:val="000000"/>
          <w:sz w:val="20"/>
          <w:szCs w:val="20"/>
        </w:rPr>
        <w:t xml:space="preserve">. Bogotá, 2025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5AD" w:rsidRDefault="008B55AD">
    <w:pPr>
      <w:widowControl w:val="0"/>
      <w:pBdr>
        <w:top w:val="nil"/>
        <w:left w:val="nil"/>
        <w:bottom w:val="nil"/>
        <w:right w:val="nil"/>
        <w:between w:val="nil"/>
      </w:pBdr>
      <w:spacing w:line="276" w:lineRule="auto"/>
      <w:rPr>
        <w:sz w:val="20"/>
        <w:szCs w:val="20"/>
      </w:rPr>
    </w:pPr>
  </w:p>
  <w:tbl>
    <w:tblPr>
      <w:tblStyle w:val="a3"/>
      <w:tblW w:w="8830" w:type="dxa"/>
      <w:tblInd w:w="0" w:type="dxa"/>
      <w:tblLayout w:type="fixed"/>
      <w:tblLook w:val="0000" w:firstRow="0" w:lastRow="0" w:firstColumn="0" w:lastColumn="0" w:noHBand="0" w:noVBand="0"/>
    </w:tblPr>
    <w:tblGrid>
      <w:gridCol w:w="2361"/>
      <w:gridCol w:w="4235"/>
      <w:gridCol w:w="2234"/>
    </w:tblGrid>
    <w:tr w:rsidR="008B55AD">
      <w:trPr>
        <w:trHeight w:val="454"/>
      </w:trPr>
      <w:tc>
        <w:tcPr>
          <w:tcW w:w="2361" w:type="dxa"/>
          <w:vMerge w:val="restart"/>
          <w:tcBorders>
            <w:top w:val="single" w:sz="4" w:space="0" w:color="000000"/>
            <w:left w:val="single" w:sz="4" w:space="0" w:color="000000"/>
            <w:right w:val="single" w:sz="4" w:space="0" w:color="000000"/>
          </w:tcBorders>
          <w:vAlign w:val="center"/>
        </w:tcPr>
        <w:p w:rsidR="008B55AD" w:rsidRDefault="008B55AD">
          <w:pPr>
            <w:jc w:val="center"/>
            <w:rPr>
              <w:sz w:val="16"/>
              <w:szCs w:val="16"/>
            </w:rPr>
          </w:pPr>
        </w:p>
      </w:tc>
      <w:tc>
        <w:tcPr>
          <w:tcW w:w="4235" w:type="dxa"/>
          <w:tcBorders>
            <w:top w:val="single" w:sz="4" w:space="0" w:color="000000"/>
            <w:left w:val="nil"/>
            <w:bottom w:val="single" w:sz="4" w:space="0" w:color="000000"/>
            <w:right w:val="single" w:sz="4" w:space="0" w:color="000000"/>
          </w:tcBorders>
          <w:vAlign w:val="center"/>
        </w:tcPr>
        <w:p w:rsidR="008B55AD" w:rsidRDefault="00F72417">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rsidR="008B55AD" w:rsidRDefault="00F72417">
          <w:pPr>
            <w:rPr>
              <w:sz w:val="16"/>
              <w:szCs w:val="16"/>
            </w:rPr>
          </w:pPr>
          <w:r>
            <w:rPr>
              <w:sz w:val="16"/>
              <w:szCs w:val="16"/>
            </w:rPr>
            <w:t>CÓDIGO</w:t>
          </w:r>
          <w:r>
            <w:rPr>
              <w:color w:val="3366FF"/>
              <w:sz w:val="16"/>
              <w:szCs w:val="16"/>
            </w:rPr>
            <w:t xml:space="preserve">: </w:t>
          </w:r>
          <w:r>
            <w:rPr>
              <w:sz w:val="16"/>
              <w:szCs w:val="16"/>
            </w:rPr>
            <w:t>GNV-FO-003</w:t>
          </w:r>
        </w:p>
      </w:tc>
    </w:tr>
    <w:tr w:rsidR="008B55AD">
      <w:trPr>
        <w:trHeight w:val="454"/>
      </w:trPr>
      <w:tc>
        <w:tcPr>
          <w:tcW w:w="2361" w:type="dxa"/>
          <w:vMerge/>
          <w:tcBorders>
            <w:top w:val="single" w:sz="4" w:space="0" w:color="000000"/>
            <w:left w:val="single" w:sz="4" w:space="0" w:color="000000"/>
            <w:right w:val="single" w:sz="4" w:space="0" w:color="000000"/>
          </w:tcBorders>
          <w:vAlign w:val="center"/>
        </w:tcPr>
        <w:p w:rsidR="008B55AD" w:rsidRDefault="008B55AD">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rsidR="008B55AD" w:rsidRDefault="00F72417">
          <w:pPr>
            <w:jc w:val="center"/>
            <w:rPr>
              <w:sz w:val="20"/>
              <w:szCs w:val="20"/>
            </w:rPr>
          </w:pPr>
          <w:r>
            <w:rPr>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rsidR="008B55AD" w:rsidRDefault="00F72417">
          <w:pPr>
            <w:rPr>
              <w:sz w:val="16"/>
              <w:szCs w:val="16"/>
            </w:rPr>
          </w:pPr>
          <w:r>
            <w:rPr>
              <w:sz w:val="16"/>
              <w:szCs w:val="16"/>
            </w:rPr>
            <w:t>VERSIÓN:    01</w:t>
          </w:r>
        </w:p>
      </w:tc>
    </w:tr>
    <w:tr w:rsidR="008B55AD">
      <w:trPr>
        <w:trHeight w:val="454"/>
      </w:trPr>
      <w:tc>
        <w:tcPr>
          <w:tcW w:w="2361" w:type="dxa"/>
          <w:vMerge/>
          <w:tcBorders>
            <w:top w:val="single" w:sz="4" w:space="0" w:color="000000"/>
            <w:left w:val="single" w:sz="4" w:space="0" w:color="000000"/>
            <w:right w:val="single" w:sz="4" w:space="0" w:color="000000"/>
          </w:tcBorders>
          <w:vAlign w:val="center"/>
        </w:tcPr>
        <w:p w:rsidR="008B55AD" w:rsidRDefault="008B55AD">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rsidR="008B55AD" w:rsidRDefault="008B55AD">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rsidR="008B55AD" w:rsidRDefault="00F72417">
          <w:pPr>
            <w:rPr>
              <w:sz w:val="16"/>
              <w:szCs w:val="16"/>
            </w:rPr>
          </w:pPr>
          <w:r>
            <w:rPr>
              <w:sz w:val="16"/>
              <w:szCs w:val="16"/>
            </w:rPr>
            <w:t>FECHA: 14-Nov-2019</w:t>
          </w:r>
        </w:p>
      </w:tc>
    </w:tr>
  </w:tbl>
  <w:p w:rsidR="008B55AD" w:rsidRDefault="00F72417">
    <w:pPr>
      <w:pBdr>
        <w:top w:val="nil"/>
        <w:left w:val="nil"/>
        <w:bottom w:val="nil"/>
        <w:right w:val="nil"/>
        <w:between w:val="nil"/>
      </w:pBdr>
      <w:tabs>
        <w:tab w:val="center" w:pos="4252"/>
        <w:tab w:val="right" w:pos="8504"/>
      </w:tabs>
    </w:pPr>
    <w:r>
      <w:rPr>
        <w:noProof/>
        <w:lang w:val="es-CO"/>
      </w:rPr>
      <w:drawing>
        <wp:anchor distT="0" distB="0" distL="0" distR="0" simplePos="0" relativeHeight="251658240" behindDoc="1" locked="0" layoutInCell="1" hidden="0" allowOverlap="1">
          <wp:simplePos x="0" y="0"/>
          <wp:positionH relativeFrom="column">
            <wp:posOffset>327025</wp:posOffset>
          </wp:positionH>
          <wp:positionV relativeFrom="paragraph">
            <wp:posOffset>-895338</wp:posOffset>
          </wp:positionV>
          <wp:extent cx="752475" cy="885825"/>
          <wp:effectExtent l="0" t="0" r="0" b="0"/>
          <wp:wrapNone/>
          <wp:docPr id="172242011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A21E3"/>
    <w:multiLevelType w:val="multilevel"/>
    <w:tmpl w:val="61127ABE"/>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115358AF"/>
    <w:multiLevelType w:val="multilevel"/>
    <w:tmpl w:val="01B6FE90"/>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2" w15:restartNumberingAfterBreak="0">
    <w:nsid w:val="1F3F6955"/>
    <w:multiLevelType w:val="multilevel"/>
    <w:tmpl w:val="5CDE306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 w15:restartNumberingAfterBreak="0">
    <w:nsid w:val="2DD73C6E"/>
    <w:multiLevelType w:val="multilevel"/>
    <w:tmpl w:val="02720F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FCB453A"/>
    <w:multiLevelType w:val="multilevel"/>
    <w:tmpl w:val="1B248C1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 w15:restartNumberingAfterBreak="0">
    <w:nsid w:val="33980929"/>
    <w:multiLevelType w:val="multilevel"/>
    <w:tmpl w:val="13D8AA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42D51FF"/>
    <w:multiLevelType w:val="multilevel"/>
    <w:tmpl w:val="C36EFB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CA122CE"/>
    <w:multiLevelType w:val="multilevel"/>
    <w:tmpl w:val="EA82330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8" w15:restartNumberingAfterBreak="0">
    <w:nsid w:val="3E6267D9"/>
    <w:multiLevelType w:val="multilevel"/>
    <w:tmpl w:val="64CE98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00361C8"/>
    <w:multiLevelType w:val="multilevel"/>
    <w:tmpl w:val="EA9285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1552B04"/>
    <w:multiLevelType w:val="multilevel"/>
    <w:tmpl w:val="F53239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2FE41DE"/>
    <w:multiLevelType w:val="multilevel"/>
    <w:tmpl w:val="43C440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6D92DC5"/>
    <w:multiLevelType w:val="multilevel"/>
    <w:tmpl w:val="107E1086"/>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13" w15:restartNumberingAfterBreak="0">
    <w:nsid w:val="49417580"/>
    <w:multiLevelType w:val="multilevel"/>
    <w:tmpl w:val="01E89B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9520385"/>
    <w:multiLevelType w:val="multilevel"/>
    <w:tmpl w:val="8DEE87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54F6C8C"/>
    <w:multiLevelType w:val="multilevel"/>
    <w:tmpl w:val="2E0A8A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DE4326E"/>
    <w:multiLevelType w:val="multilevel"/>
    <w:tmpl w:val="BB183DFA"/>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7" w15:restartNumberingAfterBreak="0">
    <w:nsid w:val="5F477C23"/>
    <w:multiLevelType w:val="multilevel"/>
    <w:tmpl w:val="49F471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C7B78D5"/>
    <w:multiLevelType w:val="multilevel"/>
    <w:tmpl w:val="C6D432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78331A9A"/>
    <w:multiLevelType w:val="multilevel"/>
    <w:tmpl w:val="8E909A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FF35679"/>
    <w:multiLevelType w:val="hybridMultilevel"/>
    <w:tmpl w:val="BECC0C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12"/>
  </w:num>
  <w:num w:numId="4">
    <w:abstractNumId w:val="3"/>
  </w:num>
  <w:num w:numId="5">
    <w:abstractNumId w:val="18"/>
  </w:num>
  <w:num w:numId="6">
    <w:abstractNumId w:val="8"/>
  </w:num>
  <w:num w:numId="7">
    <w:abstractNumId w:val="5"/>
  </w:num>
  <w:num w:numId="8">
    <w:abstractNumId w:val="9"/>
  </w:num>
  <w:num w:numId="9">
    <w:abstractNumId w:val="6"/>
  </w:num>
  <w:num w:numId="10">
    <w:abstractNumId w:val="11"/>
  </w:num>
  <w:num w:numId="11">
    <w:abstractNumId w:val="19"/>
  </w:num>
  <w:num w:numId="12">
    <w:abstractNumId w:val="15"/>
  </w:num>
  <w:num w:numId="13">
    <w:abstractNumId w:val="17"/>
  </w:num>
  <w:num w:numId="14">
    <w:abstractNumId w:val="14"/>
  </w:num>
  <w:num w:numId="15">
    <w:abstractNumId w:val="13"/>
  </w:num>
  <w:num w:numId="16">
    <w:abstractNumId w:val="2"/>
  </w:num>
  <w:num w:numId="17">
    <w:abstractNumId w:val="16"/>
  </w:num>
  <w:num w:numId="18">
    <w:abstractNumId w:val="4"/>
  </w:num>
  <w:num w:numId="19">
    <w:abstractNumId w:val="7"/>
  </w:num>
  <w:num w:numId="20">
    <w:abstractNumId w:val="0"/>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5AD"/>
    <w:rsid w:val="0010511A"/>
    <w:rsid w:val="00202F12"/>
    <w:rsid w:val="00375838"/>
    <w:rsid w:val="00395C86"/>
    <w:rsid w:val="00645350"/>
    <w:rsid w:val="006A1B5C"/>
    <w:rsid w:val="0071613A"/>
    <w:rsid w:val="007870E8"/>
    <w:rsid w:val="008B55AD"/>
    <w:rsid w:val="00B22B23"/>
    <w:rsid w:val="00C2375C"/>
    <w:rsid w:val="00F72417"/>
    <w:rsid w:val="00FD2D5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C306E"/>
  <w15:docId w15:val="{D941ABB3-774C-4032-86FA-247F6895B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jc w:val="center"/>
      <w:outlineLvl w:val="0"/>
    </w:pPr>
    <w:rPr>
      <w:rFonts w:ascii="Times New Roman" w:eastAsia="Times New Roman" w:hAnsi="Times New Roman" w:cs="Times New Roman"/>
      <w:color w:val="000000"/>
    </w:rPr>
  </w:style>
  <w:style w:type="paragraph" w:styleId="Ttulo2">
    <w:name w:val="heading 2"/>
    <w:basedOn w:val="Normal"/>
    <w:next w:val="Normal"/>
    <w:pPr>
      <w:keepNext/>
      <w:outlineLvl w:val="1"/>
    </w:pPr>
    <w:rPr>
      <w:rFonts w:ascii="Times New Roman" w:eastAsia="Times New Roman" w:hAnsi="Times New Roman" w:cs="Times New Roman"/>
      <w:color w:val="000000"/>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spacing w:before="240" w:after="60"/>
      <w:outlineLvl w:val="3"/>
    </w:pPr>
    <w:rPr>
      <w:rFonts w:ascii="Times New Roman" w:eastAsia="Times New Roman" w:hAnsi="Times New Roman" w:cs="Times New Roman"/>
      <w:b/>
      <w:color w:val="000000"/>
      <w:sz w:val="28"/>
      <w:szCs w:val="28"/>
    </w:rPr>
  </w:style>
  <w:style w:type="paragraph" w:styleId="Ttulo5">
    <w:name w:val="heading 5"/>
    <w:basedOn w:val="Normal"/>
    <w:next w:val="Normal"/>
    <w:pPr>
      <w:keepNext/>
      <w:keepLines/>
      <w:spacing w:before="200"/>
      <w:outlineLvl w:val="4"/>
    </w:pPr>
    <w:rPr>
      <w:rFonts w:ascii="Cambria" w:eastAsia="Cambria" w:hAnsi="Cambria" w:cs="Cambria"/>
      <w:color w:val="243F60"/>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7">
    <w:name w:val="Table Normal7"/>
    <w:tblPr>
      <w:tblCellMar>
        <w:top w:w="0" w:type="dxa"/>
        <w:left w:w="0" w:type="dxa"/>
        <w:bottom w:w="0" w:type="dxa"/>
        <w:right w:w="0" w:type="dxa"/>
      </w:tblCellMar>
    </w:tblPr>
  </w:style>
  <w:style w:type="table" w:customStyle="1" w:styleId="TableNormal6">
    <w:name w:val="Table Normal6"/>
    <w:tblPr>
      <w:tblCellMar>
        <w:top w:w="0" w:type="dxa"/>
        <w:left w:w="0" w:type="dxa"/>
        <w:bottom w:w="0" w:type="dxa"/>
        <w:right w:w="0" w:type="dxa"/>
      </w:tblCellMar>
    </w:tblPr>
  </w:style>
  <w:style w:type="table" w:customStyle="1" w:styleId="TableNormal5">
    <w:name w:val="Table Normal5"/>
    <w:tblPr>
      <w:tblCellMar>
        <w:top w:w="0" w:type="dxa"/>
        <w:left w:w="0" w:type="dxa"/>
        <w:bottom w:w="0" w:type="dxa"/>
        <w:right w:w="0" w:type="dxa"/>
      </w:tblCellMar>
    </w:tblPr>
  </w:style>
  <w:style w:type="table" w:customStyle="1" w:styleId="TableNormal4">
    <w:name w:val="Table Normal4"/>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character" w:customStyle="1" w:styleId="Ttulo1Car">
    <w:name w:val="Título 1 Car"/>
    <w:basedOn w:val="Fuentedeprrafopredeter"/>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uiPriority w:val="99"/>
    <w:locked/>
    <w:rsid w:val="00BD4F10"/>
    <w:rPr>
      <w:rFonts w:cs="Times New Roman"/>
      <w:b/>
      <w:sz w:val="28"/>
      <w:lang w:val="es-ES" w:eastAsia="es-ES"/>
    </w:rPr>
  </w:style>
  <w:style w:type="character" w:customStyle="1" w:styleId="Ttulo5Car">
    <w:name w:val="Título 5 Car"/>
    <w:basedOn w:val="Fuentedeprrafopredeter"/>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uiPriority w:val="99"/>
    <w:rsid w:val="00AE7E3B"/>
    <w:pPr>
      <w:tabs>
        <w:tab w:val="center" w:pos="4252"/>
        <w:tab w:val="right" w:pos="8504"/>
      </w:tabs>
    </w:pPr>
  </w:style>
  <w:style w:type="character" w:customStyle="1" w:styleId="PiedepginaCar">
    <w:name w:val="Pie de página Car"/>
    <w:basedOn w:val="Fuentedeprrafopredeter"/>
    <w:link w:val="Piedepgina"/>
    <w:uiPriority w:val="99"/>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5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99"/>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Sinespaciado">
    <w:name w:val="No Spacing"/>
    <w:uiPriority w:val="1"/>
    <w:qFormat/>
    <w:rsid w:val="00F158D8"/>
    <w:rPr>
      <w:rFonts w:asciiTheme="minorHAnsi" w:eastAsiaTheme="minorHAnsi" w:hAnsiTheme="minorHAnsi" w:cstheme="minorBidi"/>
      <w:sz w:val="22"/>
      <w:szCs w:val="22"/>
      <w:lang w:val="es-CO" w:eastAsia="en-US"/>
    </w:rPr>
  </w:style>
  <w:style w:type="table" w:customStyle="1" w:styleId="2">
    <w:name w:val="2"/>
    <w:basedOn w:val="TableNormal10"/>
    <w:tblPr>
      <w:tblStyleRowBandSize w:val="1"/>
      <w:tblStyleColBandSize w:val="1"/>
      <w:tblCellMar>
        <w:left w:w="108" w:type="dxa"/>
        <w:right w:w="108" w:type="dxa"/>
      </w:tblCellMar>
    </w:tblPr>
  </w:style>
  <w:style w:type="table" w:customStyle="1" w:styleId="1">
    <w:name w:val="1"/>
    <w:basedOn w:val="TableNormal10"/>
    <w:tblPr>
      <w:tblStyleRowBandSize w:val="1"/>
      <w:tblStyleColBandSize w:val="1"/>
      <w:tblCellMar>
        <w:left w:w="70" w:type="dxa"/>
        <w:right w:w="70" w:type="dxa"/>
      </w:tblCellMar>
    </w:tblPr>
  </w:style>
  <w:style w:type="paragraph" w:styleId="Textonotaalfinal">
    <w:name w:val="endnote text"/>
    <w:basedOn w:val="Normal"/>
    <w:link w:val="TextonotaalfinalCar"/>
    <w:uiPriority w:val="99"/>
    <w:semiHidden/>
    <w:unhideWhenUsed/>
    <w:rsid w:val="000E2CA3"/>
    <w:rPr>
      <w:sz w:val="20"/>
      <w:szCs w:val="20"/>
    </w:rPr>
  </w:style>
  <w:style w:type="character" w:customStyle="1" w:styleId="TextonotaalfinalCar">
    <w:name w:val="Texto nota al final Car"/>
    <w:basedOn w:val="Fuentedeprrafopredeter"/>
    <w:link w:val="Textonotaalfinal"/>
    <w:uiPriority w:val="99"/>
    <w:semiHidden/>
    <w:rsid w:val="000E2CA3"/>
    <w:rPr>
      <w:color w:val="000000"/>
      <w:sz w:val="20"/>
      <w:szCs w:val="20"/>
    </w:rPr>
  </w:style>
  <w:style w:type="character" w:styleId="Refdenotaalfinal">
    <w:name w:val="endnote reference"/>
    <w:basedOn w:val="Fuentedeprrafopredeter"/>
    <w:uiPriority w:val="99"/>
    <w:semiHidden/>
    <w:unhideWhenUsed/>
    <w:rsid w:val="000E2CA3"/>
    <w:rPr>
      <w:vertAlign w:val="superscript"/>
    </w:rPr>
  </w:style>
  <w:style w:type="paragraph" w:styleId="Textonotapie">
    <w:name w:val="footnote text"/>
    <w:basedOn w:val="Normal"/>
    <w:link w:val="TextonotapieCar"/>
    <w:uiPriority w:val="99"/>
    <w:semiHidden/>
    <w:unhideWhenUsed/>
    <w:rsid w:val="00625A24"/>
    <w:rPr>
      <w:sz w:val="20"/>
      <w:szCs w:val="20"/>
    </w:rPr>
  </w:style>
  <w:style w:type="character" w:customStyle="1" w:styleId="TextonotapieCar">
    <w:name w:val="Texto nota pie Car"/>
    <w:basedOn w:val="Fuentedeprrafopredeter"/>
    <w:link w:val="Textonotapie"/>
    <w:uiPriority w:val="99"/>
    <w:semiHidden/>
    <w:rsid w:val="00625A24"/>
    <w:rPr>
      <w:color w:val="000000"/>
      <w:sz w:val="20"/>
      <w:szCs w:val="20"/>
    </w:rPr>
  </w:style>
  <w:style w:type="character" w:styleId="Refdenotaalpie">
    <w:name w:val="footnote reference"/>
    <w:basedOn w:val="Fuentedeprrafopredeter"/>
    <w:uiPriority w:val="99"/>
    <w:semiHidden/>
    <w:unhideWhenUsed/>
    <w:rsid w:val="00625A24"/>
    <w:rPr>
      <w:vertAlign w:val="superscript"/>
    </w:rPr>
  </w:style>
  <w:style w:type="paragraph" w:styleId="Bibliografa">
    <w:name w:val="Bibliography"/>
    <w:basedOn w:val="Normal"/>
    <w:next w:val="Normal"/>
    <w:uiPriority w:val="37"/>
    <w:unhideWhenUsed/>
    <w:rsid w:val="0064016C"/>
  </w:style>
  <w:style w:type="table" w:customStyle="1" w:styleId="17">
    <w:name w:val="17"/>
    <w:basedOn w:val="TableNormal10"/>
    <w:tblPr>
      <w:tblStyleRowBandSize w:val="1"/>
      <w:tblStyleColBandSize w:val="1"/>
      <w:tblCellMar>
        <w:left w:w="108" w:type="dxa"/>
        <w:right w:w="108" w:type="dxa"/>
      </w:tblCellMar>
    </w:tblPr>
  </w:style>
  <w:style w:type="table" w:customStyle="1" w:styleId="16">
    <w:name w:val="16"/>
    <w:basedOn w:val="TableNormal10"/>
    <w:tblPr>
      <w:tblStyleRowBandSize w:val="1"/>
      <w:tblStyleColBandSize w:val="1"/>
      <w:tblCellMar>
        <w:left w:w="70" w:type="dxa"/>
        <w:right w:w="70" w:type="dxa"/>
      </w:tblCellMar>
    </w:tblPr>
  </w:style>
  <w:style w:type="table" w:customStyle="1" w:styleId="15">
    <w:name w:val="15"/>
    <w:basedOn w:val="TableNormal10"/>
    <w:tblPr>
      <w:tblStyleRowBandSize w:val="1"/>
      <w:tblStyleColBandSize w:val="1"/>
      <w:tblCellMar>
        <w:left w:w="108" w:type="dxa"/>
        <w:right w:w="108" w:type="dxa"/>
      </w:tblCellMar>
    </w:tblPr>
  </w:style>
  <w:style w:type="table" w:customStyle="1" w:styleId="14">
    <w:name w:val="14"/>
    <w:basedOn w:val="TableNormal10"/>
    <w:tblPr>
      <w:tblStyleRowBandSize w:val="1"/>
      <w:tblStyleColBandSize w:val="1"/>
      <w:tblCellMar>
        <w:top w:w="100" w:type="dxa"/>
        <w:left w:w="100" w:type="dxa"/>
        <w:bottom w:w="100" w:type="dxa"/>
        <w:right w:w="100" w:type="dxa"/>
      </w:tblCellMar>
    </w:tblPr>
  </w:style>
  <w:style w:type="table" w:customStyle="1" w:styleId="13">
    <w:name w:val="13"/>
    <w:basedOn w:val="TableNormal10"/>
    <w:tblPr>
      <w:tblStyleRowBandSize w:val="1"/>
      <w:tblStyleColBandSize w:val="1"/>
      <w:tblCellMar>
        <w:left w:w="70" w:type="dxa"/>
        <w:right w:w="70" w:type="dxa"/>
      </w:tblCellMar>
    </w:tblPr>
  </w:style>
  <w:style w:type="table" w:customStyle="1" w:styleId="12">
    <w:name w:val="12"/>
    <w:basedOn w:val="TableNormal10"/>
    <w:tblPr>
      <w:tblStyleRowBandSize w:val="1"/>
      <w:tblStyleColBandSize w:val="1"/>
      <w:tblCellMar>
        <w:top w:w="100" w:type="dxa"/>
        <w:left w:w="100" w:type="dxa"/>
        <w:bottom w:w="100" w:type="dxa"/>
        <w:right w:w="100" w:type="dxa"/>
      </w:tblCellMar>
    </w:tblPr>
  </w:style>
  <w:style w:type="table" w:customStyle="1" w:styleId="11">
    <w:name w:val="11"/>
    <w:basedOn w:val="TableNormal10"/>
    <w:tblPr>
      <w:tblStyleRowBandSize w:val="1"/>
      <w:tblStyleColBandSize w:val="1"/>
      <w:tblCellMar>
        <w:left w:w="70" w:type="dxa"/>
        <w:right w:w="70" w:type="dxa"/>
      </w:tblCellMar>
    </w:tblPr>
  </w:style>
  <w:style w:type="table" w:customStyle="1" w:styleId="10">
    <w:name w:val="10"/>
    <w:basedOn w:val="TableNormal4"/>
    <w:tblPr>
      <w:tblStyleRowBandSize w:val="1"/>
      <w:tblStyleColBandSize w:val="1"/>
      <w:tblCellMar>
        <w:top w:w="100" w:type="dxa"/>
        <w:left w:w="100" w:type="dxa"/>
        <w:bottom w:w="100" w:type="dxa"/>
        <w:right w:w="100" w:type="dxa"/>
      </w:tblCellMar>
    </w:tblPr>
  </w:style>
  <w:style w:type="table" w:customStyle="1" w:styleId="9">
    <w:name w:val="9"/>
    <w:basedOn w:val="TableNormal4"/>
    <w:tblPr>
      <w:tblStyleRowBandSize w:val="1"/>
      <w:tblStyleColBandSize w:val="1"/>
      <w:tblCellMar>
        <w:left w:w="70" w:type="dxa"/>
        <w:right w:w="70" w:type="dxa"/>
      </w:tblCellMar>
    </w:tblPr>
  </w:style>
  <w:style w:type="table" w:customStyle="1" w:styleId="8">
    <w:name w:val="8"/>
    <w:basedOn w:val="TableNormal5"/>
    <w:tblPr>
      <w:tblStyleRowBandSize w:val="1"/>
      <w:tblStyleColBandSize w:val="1"/>
      <w:tblCellMar>
        <w:top w:w="100" w:type="dxa"/>
        <w:left w:w="100" w:type="dxa"/>
        <w:bottom w:w="100" w:type="dxa"/>
        <w:right w:w="100" w:type="dxa"/>
      </w:tblCellMar>
    </w:tblPr>
  </w:style>
  <w:style w:type="table" w:customStyle="1" w:styleId="7">
    <w:name w:val="7"/>
    <w:basedOn w:val="TableNormal5"/>
    <w:tblPr>
      <w:tblStyleRowBandSize w:val="1"/>
      <w:tblStyleColBandSize w:val="1"/>
      <w:tblCellMar>
        <w:left w:w="70" w:type="dxa"/>
        <w:right w:w="70" w:type="dxa"/>
      </w:tblCellMar>
    </w:tblPr>
  </w:style>
  <w:style w:type="table" w:customStyle="1" w:styleId="6">
    <w:name w:val="6"/>
    <w:basedOn w:val="TableNormal5"/>
    <w:tblPr>
      <w:tblStyleRowBandSize w:val="1"/>
      <w:tblStyleColBandSize w:val="1"/>
      <w:tblCellMar>
        <w:top w:w="100" w:type="dxa"/>
        <w:left w:w="100" w:type="dxa"/>
        <w:bottom w:w="100" w:type="dxa"/>
        <w:right w:w="100" w:type="dxa"/>
      </w:tblCellMar>
    </w:tblPr>
  </w:style>
  <w:style w:type="table" w:customStyle="1" w:styleId="5">
    <w:name w:val="5"/>
    <w:basedOn w:val="TableNormal5"/>
    <w:tblPr>
      <w:tblStyleRowBandSize w:val="1"/>
      <w:tblStyleColBandSize w:val="1"/>
      <w:tblCellMar>
        <w:left w:w="70" w:type="dxa"/>
        <w:right w:w="70" w:type="dxa"/>
      </w:tblCellMar>
    </w:tblPr>
  </w:style>
  <w:style w:type="table" w:customStyle="1" w:styleId="4">
    <w:name w:val="4"/>
    <w:basedOn w:val="TableNormal5"/>
    <w:tblPr>
      <w:tblStyleRowBandSize w:val="1"/>
      <w:tblStyleColBandSize w:val="1"/>
      <w:tblCellMar>
        <w:top w:w="100" w:type="dxa"/>
        <w:left w:w="100" w:type="dxa"/>
        <w:bottom w:w="100" w:type="dxa"/>
        <w:right w:w="100" w:type="dxa"/>
      </w:tblCellMar>
    </w:tblPr>
  </w:style>
  <w:style w:type="table" w:customStyle="1" w:styleId="3">
    <w:name w:val="3"/>
    <w:basedOn w:val="TableNormal5"/>
    <w:tblPr>
      <w:tblStyleRowBandSize w:val="1"/>
      <w:tblStyleColBandSize w:val="1"/>
      <w:tblCellMar>
        <w:left w:w="70" w:type="dxa"/>
        <w:right w:w="70" w:type="dxa"/>
      </w:tblCellMar>
    </w:tbl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left w:w="70" w:type="dxa"/>
        <w:right w:w="7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70" w:type="dxa"/>
        <w:right w:w="70" w:type="dxa"/>
      </w:tblCellMar>
    </w:tblPr>
  </w:style>
  <w:style w:type="character" w:customStyle="1" w:styleId="citation-49">
    <w:name w:val="citation-49"/>
    <w:basedOn w:val="Fuentedeprrafopredeter"/>
    <w:rsid w:val="00375838"/>
  </w:style>
  <w:style w:type="character" w:customStyle="1" w:styleId="citation-48">
    <w:name w:val="citation-48"/>
    <w:basedOn w:val="Fuentedeprrafopredeter"/>
    <w:rsid w:val="00375838"/>
  </w:style>
  <w:style w:type="character" w:customStyle="1" w:styleId="citation-47">
    <w:name w:val="citation-47"/>
    <w:basedOn w:val="Fuentedeprrafopredeter"/>
    <w:rsid w:val="003758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439704">
      <w:bodyDiv w:val="1"/>
      <w:marLeft w:val="0"/>
      <w:marRight w:val="0"/>
      <w:marTop w:val="0"/>
      <w:marBottom w:val="0"/>
      <w:divBdr>
        <w:top w:val="none" w:sz="0" w:space="0" w:color="auto"/>
        <w:left w:val="none" w:sz="0" w:space="0" w:color="auto"/>
        <w:bottom w:val="none" w:sz="0" w:space="0" w:color="auto"/>
        <w:right w:val="none" w:sz="0" w:space="0" w:color="auto"/>
      </w:divBdr>
    </w:div>
    <w:div w:id="2041779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WUOkq7TLheQbQVbluNthqclzw==">CgMxLjAyDmguY3dzcHRrNGwxYXJxMg5oLmN1dHFoM3hyOTRzeDIOaC53eDkweXg0b2lrcHM4AHIhMV9Wa2cwUTd4enRNcm93WE1oVG04MnJwdFNuYUo1ZUdF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2230</Words>
  <Characters>12268</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NATALIA LIZETH AMAYA LEON</cp:lastModifiedBy>
  <cp:revision>3</cp:revision>
  <dcterms:created xsi:type="dcterms:W3CDTF">2025-11-04T17:34:00Z</dcterms:created>
  <dcterms:modified xsi:type="dcterms:W3CDTF">2025-11-04T17:42:00Z</dcterms:modified>
</cp:coreProperties>
</file>